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635.395325pt;width:595.3pt;height:206.5pt;mso-position-horizontal-relative:page;mso-position-vertical-relative:page;z-index:1096" coordorigin="0,12708" coordsize="11906,4130">
            <v:shape style="position:absolute;left:0;top:15051;width:11906;height:1787" coordorigin="0,15051" coordsize="11906,1787" path="m11906,15051l0,15771,0,16838,11906,16838,11906,15051xe" filled="true" fillcolor="#3fc3db" stroked="false">
              <v:path arrowok="t"/>
              <v:fill type="solid"/>
            </v:shape>
            <v:shape style="position:absolute;left:0;top:12707;width:8632;height:4130" coordorigin="0,12708" coordsize="8632,4130" path="m2577,12708l0,14436,0,16838,8631,16838,2577,12708xe" filled="true" fillcolor="#009a49" stroked="false">
              <v:path arrowok="t"/>
              <v:fill opacity="52428f" type="solid"/>
            </v:shape>
            <v:shape style="position:absolute;left:3277;top:16681;width:208;height:109" coordorigin="3278,16681" coordsize="208,109" path="m3486,16681l3278,16720,3278,16790,3486,16681xe" filled="true" fillcolor="#efeff1" stroked="false">
              <v:path arrowok="t"/>
              <v:fill opacity="24247f" type="solid"/>
            </v:shape>
            <v:shape style="position:absolute;left:3620;top:16445;width:1119;height:392" coordorigin="3620,16446" coordsize="1119,392" path="m4739,16446l4163,16554,3620,16838,3990,16838,4739,16446xe" filled="true" fillcolor="#efeff1" stroked="false">
              <v:path arrowok="t"/>
              <v:fill opacity="26870f" type="solid"/>
            </v:shape>
            <v:shape style="position:absolute;left:4423;top:16210;width:1568;height:628" coordorigin="4424,16211" coordsize="1568,628" path="m5992,16211l5416,16319,4424,16838,4793,16838,5992,16211xe" filled="true" fillcolor="#efeff1" stroked="false">
              <v:path arrowok="t"/>
              <v:fill opacity="30801f" type="solid"/>
            </v:shape>
            <v:shape style="position:absolute;left:5227;top:15975;width:2018;height:863" coordorigin="5228,15975" coordsize="2018,863" path="m7245,15975l6669,16083,5228,16838,5597,16838,7245,15975xe" filled="true" fillcolor="#efeff1" stroked="false">
              <v:path arrowok="t"/>
              <v:fill opacity="34078f" type="solid"/>
            </v:shape>
            <v:shape style="position:absolute;left:6031;top:15740;width:2467;height:1098" coordorigin="6031,15740" coordsize="2467,1098" path="m8498,15740l7922,15848,6031,16838,6401,16838,8498,15740xe" filled="true" fillcolor="#efeff1" stroked="false">
              <v:path arrowok="t"/>
              <v:fill opacity="37355f" type="solid"/>
            </v:shape>
            <v:shape style="position:absolute;left:7638;top:15269;width:3366;height:1569" coordorigin="7639,15270" coordsize="3366,1569" path="m11004,15270l10428,15378,7639,16838,8008,16838,11004,15270xe" filled="true" fillcolor="#efeff1" stroked="false">
              <v:path arrowok="t"/>
              <v:fill opacity="45219f" type="solid"/>
            </v:shape>
            <v:shape style="position:absolute;left:9245;top:15445;width:2660;height:1393" coordorigin="9246,15446" coordsize="2660,1393" path="m11906,15446l9246,16838,9615,16838,11906,15639,11906,15446xe" filled="true" fillcolor="#efeff1" stroked="false">
              <v:path arrowok="t"/>
              <v:fill opacity="51772f" type="solid"/>
            </v:shape>
            <v:shape style="position:absolute;left:10853;top:16286;width:1053;height:551" coordorigin="10853,16287" coordsize="1053,551" path="m11906,16287l10853,16838,11223,16838,11906,16480,11906,16287xe" filled="true" fillcolor="#efeff1" stroked="false">
              <v:path arrowok="t"/>
              <v:fill opacity="57672f" type="solid"/>
            </v:shape>
            <v:shape style="position:absolute;left:11656;top:16707;width:249;height:131" coordorigin="11657,16708" coordsize="249,131" path="m11906,16708l11657,16838,11906,16838,11906,16708xe" filled="true" fillcolor="#efeff1" stroked="false">
              <v:path arrowok="t"/>
              <v:fill opacity="60292f" type="solid"/>
            </v:shape>
            <v:shape style="position:absolute;left:10049;top:15866;width:1856;height:972" coordorigin="10050,15866" coordsize="1856,972" path="m11906,15866l10050,16838,10419,16838,11906,16060,11906,15866xe" filled="true" fillcolor="#efeff1" stroked="false">
              <v:path arrowok="t"/>
              <v:fill opacity="55049f" type="solid"/>
            </v:shape>
            <v:shape style="position:absolute;left:8442;top:15100;width:3464;height:1738" coordorigin="8442,15100" coordsize="3464,1738" path="m11906,15100l11681,15143,8442,16838,8812,16838,11906,15218,11906,15100xe" filled="true" fillcolor="#efeff1" stroked="false">
              <v:path arrowok="t"/>
              <v:fill opacity="48496f" type="solid"/>
            </v:shape>
            <v:shape style="position:absolute;left:6834;top:15504;width:2916;height:1333" coordorigin="6835,15505" coordsize="2916,1333" path="m9751,15505l9175,15613,6835,16838,7204,16838,9751,15505xe" filled="true" fillcolor="#efeff1" stroked="false">
              <v:path arrowok="t"/>
              <v:fill opacity="40631f" type="solid"/>
            </v:shape>
            <v:shape style="position:absolute;left:0;top:12843;width:9450;height:3995" coordorigin="0,12843" coordsize="9450,3995" path="m2369,12843l0,14432,0,16838,9449,16838,2369,12843xe" filled="true" fillcolor="#5d6567" stroked="false">
              <v:path arrowok="t"/>
              <v:fill opacity="10486f" type="solid"/>
            </v:shape>
            <v:shape style="position:absolute;left:250;top:14776;width:485;height:1799" coordorigin="250,14777" coordsize="485,1799" path="m315,14813l311,14809,294,14809,291,14813,291,14822,294,14825,311,14825,315,14822,315,14813m348,14815l345,14811,344,14811,343,14810,340,14809,338,14809,336,14810,335,14810,334,14811,334,14811,330,14815,330,14820,334,14823,334,14824,335,14824,338,14825,340,14825,343,14824,344,14824,345,14823,348,14820,348,14815m380,14814l378,14811,372,14808,368,14809,366,14811,365,14812,365,14813,363,14816,363,14818,365,14821,365,14822,366,14823,369,14826,374,14826,377,14823,378,14822,379,14821,379,14819,380,14818,380,14814m735,16228l721,16233,707,16238,693,16241,678,16243,692,16233,705,16220,710,16213,715,16205,722,16188,707,16196,691,16203,675,16208,659,16213,644,16199,626,16190,607,16183,586,16181,547,16189,516,16210,494,16242,487,16281,487,16288,487,16296,489,16303,429,16294,374,16272,325,16240,284,16199,278,16211,274,16223,272,16236,271,16249,274,16274,283,16297,297,16316,315,16332,303,16331,291,16328,280,16325,270,16320,270,16321,276,16355,293,16384,318,16406,350,16418,341,16421,333,16422,317,16422,311,16421,305,16420,318,16447,340,16469,367,16483,398,16489,370,16507,341,16520,308,16529,274,16532,266,16532,258,16531,250,16530,285,16549,322,16563,361,16572,403,16575,487,16563,556,16532,557,16531,613,16483,653,16424,654,16422,677,16359,681,16332,684,16303,686,16292,685,16279,700,16268,713,16256,723,16243,724,16242,735,16228m735,14817l732,14801,726,14793,723,14789,719,14786,719,14804,719,14841,719,14858,719,15235,708,15245,277,15245,267,15235,267,14858,719,14858,719,14841,267,14841,267,14804,277,14793,708,14793,719,14804,719,14786,710,14780,695,14777,291,14777,275,14780,262,14789,254,14801,250,14817,250,15221,254,15237,262,15250,275,15258,291,15262,695,15262,710,15258,723,15250,726,15245,732,15237,735,15221,735,14858,735,14841,735,14817e" filled="true" fillcolor="#ffffff" stroked="false">
              <v:path arrowok="t"/>
              <v:fill type="solid"/>
            </v:shape>
            <v:line style="position:absolute" from="404,14817" to="695,14817" stroked="true" strokeweight=".808pt" strokecolor="#ffffff">
              <v:stroke dashstyle="solid"/>
            </v:line>
            <v:shape style="position:absolute;left:331;top:14889;width:324;height:324" type="#_x0000_t75" stroked="false">
              <v:imagedata r:id="rId5" o:title=""/>
            </v:shape>
            <v:shape style="position:absolute;left:544;top:15707;width:108;height:101" type="#_x0000_t75" stroked="false">
              <v:imagedata r:id="rId6" o:title=""/>
            </v:shape>
            <v:shape style="position:absolute;left:333;top:15707;width:108;height:101" type="#_x0000_t75" stroked="false">
              <v:imagedata r:id="rId7" o:title=""/>
            </v:shape>
            <v:shape style="position:absolute;left:250;top:15542;width:485;height:345" coordorigin="250,15542" coordsize="485,345" path="m735,15581l732,15566,726,15558,724,15554,719,15551,719,15571,719,15861,709,15871,277,15871,266,15861,266,15571,472,15750,482,15754,503,15754,514,15750,527,15738,719,15571,719,15551,711,15545,710,15545,710,15558,511,15732,503,15736,493,15738,483,15736,474,15732,276,15558,277,15558,709,15558,710,15558,710,15545,696,15542,289,15542,274,15545,262,15554,253,15566,250,15581,250,15848,253,15863,262,15875,274,15884,289,15887,696,15887,711,15884,724,15875,726,15871,732,15863,735,15848,735,15581e" filled="true" fillcolor="#ffffff" stroked="false">
              <v:path arrowok="t"/>
              <v:fill type="solid"/>
            </v:shape>
            <v:shapetype id="_x0000_t202" o:spt="202" coordsize="21600,21600" path="m,l,21600r21600,l21600,xe">
              <v:stroke joinstyle="miter"/>
              <v:path gradientshapeok="t" o:connecttype="rect"/>
            </v:shapetype>
            <v:shape style="position:absolute;left:0;top:12707;width:11906;height:4130" type="#_x0000_t202" filled="false" stroked="false">
              <v:textbox inset="0,0,0,0">
                <w:txbxContent>
                  <w:p>
                    <w:pPr>
                      <w:spacing w:line="240" w:lineRule="auto" w:before="0"/>
                      <w:rPr>
                        <w:rFonts w:ascii="Myriad Pro"/>
                        <w:b/>
                        <w:sz w:val="46"/>
                      </w:rPr>
                    </w:pPr>
                  </w:p>
                  <w:p>
                    <w:pPr>
                      <w:spacing w:line="240" w:lineRule="auto" w:before="0"/>
                      <w:rPr>
                        <w:rFonts w:ascii="Myriad Pro"/>
                        <w:b/>
                        <w:sz w:val="46"/>
                      </w:rPr>
                    </w:pPr>
                  </w:p>
                  <w:p>
                    <w:pPr>
                      <w:spacing w:line="240" w:lineRule="auto" w:before="0"/>
                      <w:rPr>
                        <w:rFonts w:ascii="Myriad Pro"/>
                        <w:b/>
                        <w:sz w:val="46"/>
                      </w:rPr>
                    </w:pPr>
                  </w:p>
                  <w:p>
                    <w:pPr>
                      <w:spacing w:line="357" w:lineRule="auto" w:before="294"/>
                      <w:ind w:left="952" w:right="7771" w:firstLine="0"/>
                      <w:jc w:val="left"/>
                      <w:rPr>
                        <w:rFonts w:ascii="Myriad Pro Light"/>
                        <w:b/>
                        <w:sz w:val="38"/>
                      </w:rPr>
                    </w:pPr>
                    <w:hyperlink r:id="rId8">
                      <w:r>
                        <w:rPr>
                          <w:rFonts w:ascii="Myriad Pro Light"/>
                          <w:b/>
                          <w:color w:val="FFFFFF"/>
                          <w:sz w:val="38"/>
                        </w:rPr>
                        <w:t>www.leap-re.eu</w:t>
                      </w:r>
                    </w:hyperlink>
                    <w:r>
                      <w:rPr>
                        <w:rFonts w:ascii="Myriad Pro Light"/>
                        <w:b/>
                        <w:color w:val="FFFFFF"/>
                        <w:sz w:val="38"/>
                      </w:rPr>
                      <w:t> </w:t>
                    </w:r>
                    <w:hyperlink r:id="rId9">
                      <w:r>
                        <w:rPr>
                          <w:rFonts w:ascii="Myriad Pro Light"/>
                          <w:b/>
                          <w:color w:val="FFFFFF"/>
                          <w:sz w:val="38"/>
                        </w:rPr>
                        <w:t>contact@leap-re.eu</w:t>
                      </w:r>
                    </w:hyperlink>
                    <w:r>
                      <w:rPr>
                        <w:rFonts w:ascii="Myriad Pro Light"/>
                        <w:b/>
                        <w:color w:val="FFFFFF"/>
                        <w:sz w:val="38"/>
                      </w:rPr>
                      <w:t> @leapRE_EU</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5345" w:val="left" w:leader="none"/>
          <w:tab w:pos="6401" w:val="left" w:leader="none"/>
        </w:tabs>
        <w:spacing w:line="232" w:lineRule="auto" w:before="295"/>
        <w:ind w:left="652" w:right="1711" w:firstLine="0"/>
        <w:jc w:val="left"/>
        <w:rPr>
          <w:rFonts w:ascii="Myriad Pro"/>
          <w:b/>
          <w:sz w:val="120"/>
        </w:rPr>
      </w:pPr>
      <w:r>
        <w:rPr/>
        <w:pict>
          <v:group style="position:absolute;margin-left:-.000001pt;margin-top:-391.881042pt;width:595.3pt;height:363.1pt;mso-position-horizontal-relative:page;mso-position-vertical-relative:paragraph;z-index:1048" coordorigin="0,-7838" coordsize="11906,7262">
            <v:shape style="position:absolute;left:0;top:-7838;width:8811;height:3265" coordorigin="0,-7838" coordsize="8811,3265" path="m8811,-7838l0,-7838,0,-4573,8811,-7838xe" filled="true" fillcolor="#38bed4" stroked="false">
              <v:path arrowok="t"/>
              <v:fill type="solid"/>
            </v:shape>
            <v:shape style="position:absolute;left:0;top:-7838;width:11906;height:4409" coordorigin="0,-7838" coordsize="11906,4409" path="m11906,-7838l7549,-7838,1636,-7838,0,-7838,0,-5678,3504,-6680,8752,-3429,11906,-5584,11906,-7838e" filled="true" fillcolor="#009a49" stroked="false">
              <v:path arrowok="t"/>
              <v:fill type="solid"/>
            </v:shape>
            <v:shape style="position:absolute;left:2377;top:-7838;width:8768;height:2801" coordorigin="2377,-7838" coordsize="8768,2801" path="m11144,-7838l2377,-7838,8442,-5037,11144,-7838xe" filled="true" fillcolor="#5d6567" stroked="false">
              <v:path arrowok="t"/>
              <v:fill opacity="10486f" type="solid"/>
            </v:shape>
            <v:shape style="position:absolute;left:3677;top:-7838;width:8229;height:2801" coordorigin="3677,-7838" coordsize="8229,2801" path="m11906,-7838l3677,-7838,8422,-5037,11906,-6054,11906,-7838xe" filled="true" fillcolor="#38bed4" stroked="false">
              <v:path arrowok="t"/>
              <v:fill type="solid"/>
            </v:shape>
            <v:shape style="position:absolute;left:0;top:-7838;width:9492;height:4502" coordorigin="0,-7838" coordsize="9492,4502" path="m9492,-7838l0,-7838,0,-3336,9492,-7838xe" filled="true" fillcolor="#c9cdd3" stroked="false">
              <v:path arrowok="t"/>
              <v:fill opacity="14417f" type="solid"/>
            </v:shape>
            <v:shape style="position:absolute;left:3180;top:-7838;width:2415;height:1171" coordorigin="3181,-7838" coordsize="2415,1171" path="m5595,-7838l5225,-7838,3181,-6772,3350,-6667,5595,-7838xe" filled="true" fillcolor="#efeff1" stroked="false">
              <v:path arrowok="t"/>
              <v:fill opacity="16384f" type="solid"/>
            </v:shape>
            <v:shape style="position:absolute;left:3548;top:-7838;width:2853;height:1400" coordorigin="3549,-7838" coordsize="2853,1400" path="m6401,-7838l6030,-7838,3549,-6543,3718,-6438,6401,-7838xe" filled="true" fillcolor="#efeff1" stroked="false">
              <v:path arrowok="t"/>
              <v:fill opacity="19004f" type="solid"/>
            </v:shape>
            <v:shape style="position:absolute;left:3916;top:-7838;width:3290;height:1628" coordorigin="3917,-7838" coordsize="3290,1628" path="m7206,-7838l6836,-7838,3917,-6315,4086,-6210,7206,-7838xe" filled="true" fillcolor="#efeff1" stroked="false">
              <v:path arrowok="t"/>
              <v:fill opacity="20971f" type="solid"/>
            </v:shape>
            <v:shape style="position:absolute;left:4284;top:-7838;width:3728;height:1856" coordorigin="4285,-7838" coordsize="3728,1856" path="m8012,-7838l7642,-7838,4285,-6087,4454,-5982,8012,-7838xe" filled="true" fillcolor="#efeff1" stroked="false">
              <v:path arrowok="t"/>
              <v:fill opacity="24247f" type="solid"/>
            </v:shape>
            <v:shape style="position:absolute;left:4652;top:-7838;width:4166;height:2085" coordorigin="4653,-7838" coordsize="4166,2085" path="m8818,-7838l8447,-7838,4653,-5858,4822,-5753,8818,-7838xe" filled="true" fillcolor="#efeff1" stroked="false">
              <v:path arrowok="t"/>
              <v:fill opacity="26870f" type="solid"/>
            </v:shape>
            <v:shape style="position:absolute;left:5020;top:-7838;width:4603;height:2313" coordorigin="5021,-7838" coordsize="4603,2313" path="m9624,-7838l9253,-7838,5021,-5630,5190,-5525,9624,-7838xe" filled="true" fillcolor="#efeff1" stroked="false">
              <v:path arrowok="t"/>
              <v:fill opacity="30801f" type="solid"/>
            </v:shape>
            <v:shape style="position:absolute;left:5388;top:-7838;width:5041;height:2541" coordorigin="5389,-7838" coordsize="5041,2541" path="m10429,-7838l10059,-7838,5389,-5402,5558,-5297,10429,-7838xe" filled="true" fillcolor="#efeff1" stroked="false">
              <v:path arrowok="t"/>
              <v:fill opacity="34078f" type="solid"/>
            </v:shape>
            <v:shape style="position:absolute;left:5756;top:-7838;width:5479;height:2769" coordorigin="5757,-7838" coordsize="5479,2769" path="m11235,-7838l10865,-7838,5757,-5174,5926,-5069,11235,-7838xe" filled="true" fillcolor="#efeff1" stroked="false">
              <v:path arrowok="t"/>
              <v:fill opacity="37355f" type="solid"/>
            </v:shape>
            <v:shape style="position:absolute;left:6492;top:-7541;width:5413;height:2929" coordorigin="6493,-7540" coordsize="5413,2929" path="m11906,-7540l6493,-4717,6662,-4612,11906,-7347,11906,-7540xe" filled="true" fillcolor="#efeff1" stroked="false">
              <v:path arrowok="t"/>
              <v:fill opacity="45219f" type="solid"/>
            </v:shape>
            <v:shape style="position:absolute;left:7228;top:-6700;width:4677;height:2545" coordorigin="7229,-6700" coordsize="4677,2545" path="m11906,-6700l7229,-4260,7398,-4155,11906,-6506,11906,-6700xe" filled="true" fillcolor="#efeff1" stroked="false">
              <v:path arrowok="t"/>
              <v:fill opacity="51772f" type="solid"/>
            </v:shape>
            <v:shape style="position:absolute;left:7964;top:-5860;width:3941;height:2161" coordorigin="7965,-5859" coordsize="3941,2161" path="m11906,-5859l7965,-3804,8134,-3699,11906,-5666,11906,-5859xe" filled="true" fillcolor="#efeff1" stroked="false">
              <v:path arrowok="t"/>
              <v:fill opacity="57672f" type="solid"/>
            </v:shape>
            <v:shape style="position:absolute;left:8332;top:-4870;width:2482;height:1400" coordorigin="8333,-4870" coordsize="2482,1400" path="m10814,-4870l8333,-3576,8502,-3471,9601,-4044,10814,-4870xe" filled="true" fillcolor="#efeff1" stroked="false">
              <v:path arrowok="t"/>
              <v:fill opacity="60292f" type="solid"/>
            </v:shape>
            <v:shape style="position:absolute;left:7596;top:-6280;width:4309;height:2353" coordorigin="7597,-6279" coordsize="4309,2353" path="m11906,-6279l7597,-4032,7766,-3927,11906,-6086,11906,-6279xe" filled="true" fillcolor="#efeff1" stroked="false">
              <v:path arrowok="t"/>
              <v:fill opacity="55049f" type="solid"/>
            </v:shape>
            <v:shape style="position:absolute;left:6860;top:-7120;width:5045;height:2737" coordorigin="6861,-7120" coordsize="5045,2737" path="m11906,-7120l6861,-4489,7030,-4384,11906,-6927,11906,-7120xe" filled="true" fillcolor="#efeff1" stroked="false">
              <v:path arrowok="t"/>
              <v:fill opacity="48496f" type="solid"/>
            </v:shape>
            <v:shape style="position:absolute;left:6124;top:-7838;width:5781;height:2998" coordorigin="6125,-7838" coordsize="5781,2998" path="m11906,-7838l11670,-7838,6125,-4945,6294,-4840,11906,-7767,11906,-7838xe" filled="true" fillcolor="#efeff1" stroked="false">
              <v:path arrowok="t"/>
              <v:fill opacity="40631f" type="solid"/>
            </v:shape>
            <v:shape style="position:absolute;left:2112;top:-3705;width:7687;height:3129" type="#_x0000_t75" stroked="false">
              <v:imagedata r:id="rId10" o:title=""/>
            </v:shape>
            <v:shape style="position:absolute;left:8485;top:-7538;width:3197;height:1048" type="#_x0000_t202" filled="false" stroked="false">
              <v:textbox inset="0,0,0,0">
                <w:txbxContent>
                  <w:p>
                    <w:pPr>
                      <w:spacing w:line="359" w:lineRule="exact" w:before="0"/>
                      <w:ind w:left="0" w:right="0" w:firstLine="0"/>
                      <w:jc w:val="left"/>
                      <w:rPr>
                        <w:rFonts w:ascii="Myriad Pro Light"/>
                        <w:b/>
                        <w:sz w:val="30"/>
                      </w:rPr>
                    </w:pPr>
                    <w:r>
                      <w:rPr>
                        <w:rFonts w:ascii="Myriad Pro Light"/>
                        <w:b/>
                        <w:color w:val="FFFFFF"/>
                        <w:sz w:val="30"/>
                      </w:rPr>
                      <w:t>BACKGROUND </w:t>
                    </w:r>
                    <w:r>
                      <w:rPr>
                        <w:rFonts w:ascii="Myriad Pro Light"/>
                        <w:b/>
                        <w:color w:val="FFFFFF"/>
                        <w:spacing w:val="-5"/>
                        <w:sz w:val="30"/>
                      </w:rPr>
                      <w:t>PAPER</w:t>
                    </w:r>
                    <w:r>
                      <w:rPr>
                        <w:rFonts w:ascii="Myriad Pro Light"/>
                        <w:b/>
                        <w:color w:val="FFFFFF"/>
                        <w:spacing w:val="3"/>
                        <w:sz w:val="30"/>
                      </w:rPr>
                      <w:t> </w:t>
                    </w:r>
                    <w:r>
                      <w:rPr>
                        <w:rFonts w:ascii="Myriad Pro Light"/>
                        <w:b/>
                        <w:color w:val="FFFFFF"/>
                        <w:sz w:val="30"/>
                      </w:rPr>
                      <w:t>#2</w:t>
                    </w:r>
                  </w:p>
                  <w:p>
                    <w:pPr>
                      <w:spacing w:line="343" w:lineRule="exact" w:before="0"/>
                      <w:ind w:left="1187" w:right="0" w:firstLine="0"/>
                      <w:jc w:val="left"/>
                      <w:rPr>
                        <w:sz w:val="30"/>
                      </w:rPr>
                    </w:pPr>
                    <w:r>
                      <w:rPr>
                        <w:color w:val="FFFFFF"/>
                        <w:sz w:val="30"/>
                      </w:rPr>
                      <w:t>Draft Version</w:t>
                    </w:r>
                    <w:r>
                      <w:rPr>
                        <w:color w:val="FFFFFF"/>
                        <w:spacing w:val="-14"/>
                        <w:sz w:val="30"/>
                      </w:rPr>
                      <w:t> </w:t>
                    </w:r>
                    <w:r>
                      <w:rPr>
                        <w:color w:val="FFFFFF"/>
                        <w:sz w:val="30"/>
                      </w:rPr>
                      <w:t>17</w:t>
                    </w:r>
                  </w:p>
                  <w:p>
                    <w:pPr>
                      <w:spacing w:line="345" w:lineRule="exact" w:before="0"/>
                      <w:ind w:left="1620" w:right="0" w:firstLine="0"/>
                      <w:jc w:val="left"/>
                      <w:rPr>
                        <w:sz w:val="30"/>
                      </w:rPr>
                    </w:pPr>
                    <w:r>
                      <w:rPr>
                        <w:color w:val="FFFFFF"/>
                        <w:sz w:val="30"/>
                      </w:rPr>
                      <w:t>22 May</w:t>
                    </w:r>
                    <w:r>
                      <w:rPr>
                        <w:color w:val="FFFFFF"/>
                        <w:spacing w:val="-30"/>
                        <w:sz w:val="30"/>
                      </w:rPr>
                      <w:t> </w:t>
                    </w:r>
                    <w:r>
                      <w:rPr>
                        <w:color w:val="FFFFFF"/>
                        <w:sz w:val="30"/>
                      </w:rPr>
                      <w:t>2019</w:t>
                    </w:r>
                  </w:p>
                </w:txbxContent>
              </v:textbox>
              <w10:wrap type="none"/>
            </v:shape>
            <w10:wrap type="none"/>
          </v:group>
        </w:pict>
      </w:r>
      <w:bookmarkStart w:name="BG Paper 2 - FRONT.pdf" w:id="1"/>
      <w:bookmarkEnd w:id="1"/>
      <w:r>
        <w:rPr/>
      </w:r>
      <w:r>
        <w:rPr>
          <w:rFonts w:ascii="Myriad Pro"/>
          <w:b/>
          <w:color w:val="414042"/>
          <w:spacing w:val="-5"/>
          <w:sz w:val="120"/>
        </w:rPr>
        <w:t>Funding</w:t>
        <w:tab/>
      </w:r>
      <w:r>
        <w:rPr>
          <w:rFonts w:ascii="Myriad Pro"/>
          <w:b/>
          <w:color w:val="414042"/>
          <w:sz w:val="120"/>
        </w:rPr>
        <w:t>&amp;</w:t>
        <w:tab/>
      </w:r>
      <w:r>
        <w:rPr>
          <w:rFonts w:ascii="Myriad Pro"/>
          <w:b/>
          <w:color w:val="414042"/>
          <w:spacing w:val="-9"/>
          <w:sz w:val="120"/>
        </w:rPr>
        <w:t>Private </w:t>
      </w:r>
      <w:r>
        <w:rPr>
          <w:rFonts w:ascii="Myriad Pro"/>
          <w:b/>
          <w:color w:val="414042"/>
          <w:spacing w:val="3"/>
          <w:sz w:val="120"/>
        </w:rPr>
        <w:t>Sector</w:t>
      </w:r>
    </w:p>
    <w:p>
      <w:pPr>
        <w:spacing w:after="0" w:line="232" w:lineRule="auto"/>
        <w:jc w:val="left"/>
        <w:rPr>
          <w:rFonts w:ascii="Myriad Pro"/>
          <w:sz w:val="120"/>
        </w:rPr>
        <w:sectPr>
          <w:type w:val="continuous"/>
          <w:pgSz w:w="11910" w:h="16840"/>
          <w:pgMar w:top="0" w:bottom="0" w:left="0" w:right="0"/>
        </w:sectPr>
      </w:pPr>
    </w:p>
    <w:p>
      <w:pPr>
        <w:pStyle w:val="BodyText"/>
        <w:spacing w:before="4"/>
        <w:rPr>
          <w:rFonts w:ascii="Times New Roman"/>
          <w:sz w:val="17"/>
        </w:rPr>
      </w:pPr>
    </w:p>
    <w:p>
      <w:pPr>
        <w:spacing w:after="0"/>
        <w:rPr>
          <w:rFonts w:ascii="Times New Roman"/>
          <w:sz w:val="17"/>
        </w:rPr>
        <w:sectPr>
          <w:pgSz w:w="11910" w:h="16840"/>
          <w:pgMar w:top="1580" w:bottom="280" w:left="0" w:right="0"/>
        </w:sectPr>
      </w:pPr>
    </w:p>
    <w:p>
      <w:pPr>
        <w:tabs>
          <w:tab w:pos="9930" w:val="left" w:leader="none"/>
        </w:tabs>
        <w:spacing w:line="240" w:lineRule="auto"/>
        <w:ind w:left="1039" w:right="0" w:firstLine="0"/>
        <w:rPr>
          <w:rFonts w:ascii="Times New Roman"/>
          <w:sz w:val="20"/>
        </w:rPr>
      </w:pPr>
      <w:r>
        <w:rPr>
          <w:rFonts w:ascii="Times New Roman"/>
          <w:position w:val="5"/>
          <w:sz w:val="20"/>
        </w:rPr>
        <w:drawing>
          <wp:inline distT="0" distB="0" distL="0" distR="0">
            <wp:extent cx="2190804" cy="359282"/>
            <wp:effectExtent l="0" t="0" r="0" b="0"/>
            <wp:docPr id="1" name="image5.png" descr=""/>
            <wp:cNvGraphicFramePr>
              <a:graphicFrameLocks noChangeAspect="1"/>
            </wp:cNvGraphicFramePr>
            <a:graphic>
              <a:graphicData uri="http://schemas.openxmlformats.org/drawingml/2006/picture">
                <pic:pic>
                  <pic:nvPicPr>
                    <pic:cNvPr id="2" name="image5.png"/>
                    <pic:cNvPicPr/>
                  </pic:nvPicPr>
                  <pic:blipFill>
                    <a:blip r:embed="rId11" cstate="print"/>
                    <a:stretch>
                      <a:fillRect/>
                    </a:stretch>
                  </pic:blipFill>
                  <pic:spPr>
                    <a:xfrm>
                      <a:off x="0" y="0"/>
                      <a:ext cx="2190804" cy="359282"/>
                    </a:xfrm>
                    <a:prstGeom prst="rect">
                      <a:avLst/>
                    </a:prstGeom>
                  </pic:spPr>
                </pic:pic>
              </a:graphicData>
            </a:graphic>
          </wp:inline>
        </w:drawing>
      </w:r>
      <w:r>
        <w:rPr>
          <w:rFonts w:ascii="Times New Roman"/>
          <w:position w:val="5"/>
          <w:sz w:val="20"/>
        </w:rPr>
      </w:r>
      <w:r>
        <w:rPr>
          <w:rFonts w:ascii="Times New Roman"/>
          <w:position w:val="5"/>
          <w:sz w:val="20"/>
        </w:rPr>
        <w:tab/>
      </w:r>
      <w:r>
        <w:rPr>
          <w:rFonts w:ascii="Times New Roman"/>
          <w:sz w:val="20"/>
        </w:rPr>
        <w:drawing>
          <wp:inline distT="0" distB="0" distL="0" distR="0">
            <wp:extent cx="561993" cy="382143"/>
            <wp:effectExtent l="0" t="0" r="0" b="0"/>
            <wp:docPr id="3" name="image6.jpeg" descr=""/>
            <wp:cNvGraphicFramePr>
              <a:graphicFrameLocks noChangeAspect="1"/>
            </wp:cNvGraphicFramePr>
            <a:graphic>
              <a:graphicData uri="http://schemas.openxmlformats.org/drawingml/2006/picture">
                <pic:pic>
                  <pic:nvPicPr>
                    <pic:cNvPr id="4" name="image6.jpeg"/>
                    <pic:cNvPicPr/>
                  </pic:nvPicPr>
                  <pic:blipFill>
                    <a:blip r:embed="rId12" cstate="print"/>
                    <a:stretch>
                      <a:fillRect/>
                    </a:stretch>
                  </pic:blipFill>
                  <pic:spPr>
                    <a:xfrm>
                      <a:off x="0" y="0"/>
                      <a:ext cx="561993" cy="382143"/>
                    </a:xfrm>
                    <a:prstGeom prst="rect">
                      <a:avLst/>
                    </a:prstGeom>
                  </pic:spPr>
                </pic:pic>
              </a:graphicData>
            </a:graphic>
          </wp:inline>
        </w:drawing>
      </w:r>
      <w:r>
        <w:rPr>
          <w:rFonts w:ascii="Times New Roman"/>
          <w:sz w:val="20"/>
        </w:rPr>
      </w:r>
    </w:p>
    <w:p>
      <w:pPr>
        <w:pStyle w:val="BodyText"/>
        <w:spacing w:before="11"/>
        <w:rPr>
          <w:rFonts w:ascii="Times New Roman"/>
          <w:sz w:val="21"/>
        </w:rPr>
      </w:pPr>
    </w:p>
    <w:p>
      <w:pPr>
        <w:spacing w:line="235" w:lineRule="auto" w:before="111"/>
        <w:ind w:left="1039" w:right="1082" w:firstLine="0"/>
        <w:jc w:val="both"/>
        <w:rPr>
          <w:rFonts w:ascii="Myriad Pro"/>
          <w:i/>
          <w:sz w:val="25"/>
        </w:rPr>
      </w:pPr>
      <w:r>
        <w:rPr>
          <w:rFonts w:ascii="Myriad Pro"/>
          <w:i/>
          <w:color w:val="414042"/>
          <w:sz w:val="25"/>
        </w:rPr>
        <w:t>The</w:t>
      </w:r>
      <w:r>
        <w:rPr>
          <w:rFonts w:ascii="Myriad Pro"/>
          <w:i/>
          <w:color w:val="414042"/>
          <w:spacing w:val="-4"/>
          <w:sz w:val="25"/>
        </w:rPr>
        <w:t> </w:t>
      </w:r>
      <w:r>
        <w:rPr>
          <w:rFonts w:ascii="Myriad Pro"/>
          <w:i/>
          <w:color w:val="414042"/>
          <w:sz w:val="25"/>
        </w:rPr>
        <w:t>Background</w:t>
      </w:r>
      <w:r>
        <w:rPr>
          <w:rFonts w:ascii="Myriad Pro"/>
          <w:i/>
          <w:color w:val="414042"/>
          <w:spacing w:val="-3"/>
          <w:sz w:val="25"/>
        </w:rPr>
        <w:t> </w:t>
      </w:r>
      <w:r>
        <w:rPr>
          <w:rFonts w:ascii="Myriad Pro"/>
          <w:i/>
          <w:color w:val="414042"/>
          <w:sz w:val="25"/>
        </w:rPr>
        <w:t>Papers</w:t>
      </w:r>
      <w:r>
        <w:rPr>
          <w:rFonts w:ascii="Myriad Pro"/>
          <w:i/>
          <w:color w:val="414042"/>
          <w:spacing w:val="-3"/>
          <w:sz w:val="25"/>
        </w:rPr>
        <w:t> </w:t>
      </w:r>
      <w:r>
        <w:rPr>
          <w:rFonts w:ascii="Myriad Pro"/>
          <w:i/>
          <w:color w:val="414042"/>
          <w:sz w:val="25"/>
        </w:rPr>
        <w:t>are</w:t>
      </w:r>
      <w:r>
        <w:rPr>
          <w:rFonts w:ascii="Myriad Pro"/>
          <w:i/>
          <w:color w:val="414042"/>
          <w:spacing w:val="-4"/>
          <w:sz w:val="25"/>
        </w:rPr>
        <w:t> </w:t>
      </w:r>
      <w:r>
        <w:rPr>
          <w:rFonts w:ascii="Myriad Pro"/>
          <w:i/>
          <w:color w:val="414042"/>
          <w:sz w:val="25"/>
        </w:rPr>
        <w:t>documents</w:t>
      </w:r>
      <w:r>
        <w:rPr>
          <w:rFonts w:ascii="Myriad Pro"/>
          <w:i/>
          <w:color w:val="414042"/>
          <w:spacing w:val="-3"/>
          <w:sz w:val="25"/>
        </w:rPr>
        <w:t> </w:t>
      </w:r>
      <w:r>
        <w:rPr>
          <w:rFonts w:ascii="Myriad Pro"/>
          <w:i/>
          <w:color w:val="414042"/>
          <w:sz w:val="25"/>
        </w:rPr>
        <w:t>in</w:t>
      </w:r>
      <w:r>
        <w:rPr>
          <w:rFonts w:ascii="Myriad Pro"/>
          <w:i/>
          <w:color w:val="414042"/>
          <w:spacing w:val="-3"/>
          <w:sz w:val="25"/>
        </w:rPr>
        <w:t> </w:t>
      </w:r>
      <w:r>
        <w:rPr>
          <w:rFonts w:ascii="Myriad Pro"/>
          <w:i/>
          <w:color w:val="414042"/>
          <w:sz w:val="25"/>
        </w:rPr>
        <w:t>progress,</w:t>
      </w:r>
      <w:r>
        <w:rPr>
          <w:rFonts w:ascii="Myriad Pro"/>
          <w:i/>
          <w:color w:val="414042"/>
          <w:spacing w:val="-4"/>
          <w:sz w:val="25"/>
        </w:rPr>
        <w:t> </w:t>
      </w:r>
      <w:r>
        <w:rPr>
          <w:rFonts w:ascii="Myriad Pro"/>
          <w:i/>
          <w:color w:val="414042"/>
          <w:sz w:val="25"/>
        </w:rPr>
        <w:t>which</w:t>
      </w:r>
      <w:r>
        <w:rPr>
          <w:rFonts w:ascii="Myriad Pro"/>
          <w:i/>
          <w:color w:val="414042"/>
          <w:spacing w:val="-3"/>
          <w:sz w:val="25"/>
        </w:rPr>
        <w:t> </w:t>
      </w:r>
      <w:r>
        <w:rPr>
          <w:rFonts w:ascii="Myriad Pro"/>
          <w:i/>
          <w:color w:val="414042"/>
          <w:sz w:val="25"/>
        </w:rPr>
        <w:t>will</w:t>
      </w:r>
      <w:r>
        <w:rPr>
          <w:rFonts w:ascii="Myriad Pro"/>
          <w:i/>
          <w:color w:val="414042"/>
          <w:spacing w:val="-3"/>
          <w:sz w:val="25"/>
        </w:rPr>
        <w:t> </w:t>
      </w:r>
      <w:r>
        <w:rPr>
          <w:rFonts w:ascii="Myriad Pro"/>
          <w:i/>
          <w:color w:val="414042"/>
          <w:sz w:val="25"/>
        </w:rPr>
        <w:t>form</w:t>
      </w:r>
      <w:r>
        <w:rPr>
          <w:rFonts w:ascii="Myriad Pro"/>
          <w:i/>
          <w:color w:val="414042"/>
          <w:spacing w:val="-3"/>
          <w:sz w:val="25"/>
        </w:rPr>
        <w:t> </w:t>
      </w:r>
      <w:r>
        <w:rPr>
          <w:rFonts w:ascii="Myriad Pro"/>
          <w:i/>
          <w:color w:val="414042"/>
          <w:sz w:val="25"/>
        </w:rPr>
        <w:t>the</w:t>
      </w:r>
      <w:r>
        <w:rPr>
          <w:rFonts w:ascii="Myriad Pro"/>
          <w:i/>
          <w:color w:val="414042"/>
          <w:spacing w:val="-4"/>
          <w:sz w:val="25"/>
        </w:rPr>
        <w:t> </w:t>
      </w:r>
      <w:r>
        <w:rPr>
          <w:rFonts w:ascii="Myriad Pro"/>
          <w:i/>
          <w:color w:val="414042"/>
          <w:sz w:val="25"/>
        </w:rPr>
        <w:t>basis</w:t>
      </w:r>
      <w:r>
        <w:rPr>
          <w:rFonts w:ascii="Myriad Pro"/>
          <w:i/>
          <w:color w:val="414042"/>
          <w:spacing w:val="-3"/>
          <w:sz w:val="25"/>
        </w:rPr>
        <w:t> </w:t>
      </w:r>
      <w:r>
        <w:rPr>
          <w:rFonts w:ascii="Myriad Pro"/>
          <w:i/>
          <w:color w:val="414042"/>
          <w:sz w:val="25"/>
        </w:rPr>
        <w:t>for</w:t>
      </w:r>
      <w:r>
        <w:rPr>
          <w:rFonts w:ascii="Myriad Pro"/>
          <w:i/>
          <w:color w:val="414042"/>
          <w:spacing w:val="-3"/>
          <w:sz w:val="25"/>
        </w:rPr>
        <w:t> </w:t>
      </w:r>
      <w:r>
        <w:rPr>
          <w:rFonts w:ascii="Myriad Pro"/>
          <w:i/>
          <w:color w:val="414042"/>
          <w:sz w:val="25"/>
        </w:rPr>
        <w:t>the</w:t>
      </w:r>
      <w:r>
        <w:rPr>
          <w:rFonts w:ascii="Myriad Pro"/>
          <w:i/>
          <w:color w:val="414042"/>
          <w:spacing w:val="-4"/>
          <w:sz w:val="25"/>
        </w:rPr>
        <w:t> </w:t>
      </w:r>
      <w:r>
        <w:rPr>
          <w:rFonts w:ascii="Myriad Pro"/>
          <w:i/>
          <w:color w:val="414042"/>
          <w:sz w:val="25"/>
        </w:rPr>
        <w:t>discussion</w:t>
      </w:r>
      <w:r>
        <w:rPr>
          <w:rFonts w:ascii="Myriad Pro"/>
          <w:i/>
          <w:color w:val="414042"/>
          <w:spacing w:val="-3"/>
          <w:sz w:val="25"/>
        </w:rPr>
        <w:t> </w:t>
      </w:r>
      <w:r>
        <w:rPr>
          <w:rFonts w:ascii="Myriad Pro"/>
          <w:i/>
          <w:color w:val="414042"/>
          <w:sz w:val="25"/>
        </w:rPr>
        <w:t>with </w:t>
      </w:r>
      <w:r>
        <w:rPr>
          <w:rFonts w:ascii="Myriad Pro"/>
          <w:i/>
          <w:color w:val="414042"/>
          <w:sz w:val="25"/>
        </w:rPr>
        <w:t>committed stakeholders, who want to contribute to the joint programme LEAP-RE and who </w:t>
      </w:r>
      <w:r>
        <w:rPr>
          <w:rFonts w:ascii="Myriad Pro"/>
          <w:i/>
          <w:color w:val="414042"/>
          <w:spacing w:val="-6"/>
          <w:sz w:val="25"/>
        </w:rPr>
        <w:t>may </w:t>
      </w:r>
      <w:r>
        <w:rPr>
          <w:rFonts w:ascii="Myriad Pro"/>
          <w:i/>
          <w:color w:val="414042"/>
          <w:sz w:val="25"/>
        </w:rPr>
        <w:t>want to become a consortium member or associated partner. Feedback and suggestions for </w:t>
      </w:r>
      <w:r>
        <w:rPr>
          <w:rFonts w:ascii="Myriad Pro"/>
          <w:i/>
          <w:color w:val="414042"/>
          <w:spacing w:val="-3"/>
          <w:sz w:val="25"/>
        </w:rPr>
        <w:t>these </w:t>
      </w:r>
      <w:r>
        <w:rPr>
          <w:rFonts w:ascii="Myriad Pro"/>
          <w:i/>
          <w:color w:val="414042"/>
          <w:sz w:val="25"/>
        </w:rPr>
        <w:t>documents are welcome. The intention with the Background Papers is to foster an inclusive process as</w:t>
      </w:r>
      <w:r>
        <w:rPr>
          <w:rFonts w:ascii="Myriad Pro"/>
          <w:i/>
          <w:color w:val="414042"/>
          <w:spacing w:val="-7"/>
          <w:sz w:val="25"/>
        </w:rPr>
        <w:t> </w:t>
      </w:r>
      <w:r>
        <w:rPr>
          <w:rFonts w:ascii="Myriad Pro"/>
          <w:i/>
          <w:color w:val="414042"/>
          <w:sz w:val="25"/>
        </w:rPr>
        <w:t>possible.</w:t>
      </w:r>
      <w:r>
        <w:rPr>
          <w:rFonts w:ascii="Myriad Pro"/>
          <w:i/>
          <w:color w:val="414042"/>
          <w:spacing w:val="-6"/>
          <w:sz w:val="25"/>
        </w:rPr>
        <w:t> </w:t>
      </w:r>
      <w:r>
        <w:rPr>
          <w:rFonts w:ascii="Myriad Pro"/>
          <w:i/>
          <w:color w:val="414042"/>
          <w:sz w:val="25"/>
        </w:rPr>
        <w:t>The</w:t>
      </w:r>
      <w:r>
        <w:rPr>
          <w:rFonts w:ascii="Myriad Pro"/>
          <w:i/>
          <w:color w:val="414042"/>
          <w:spacing w:val="-6"/>
          <w:sz w:val="25"/>
        </w:rPr>
        <w:t> </w:t>
      </w:r>
      <w:r>
        <w:rPr>
          <w:rFonts w:ascii="Myriad Pro"/>
          <w:i/>
          <w:color w:val="414042"/>
          <w:sz w:val="25"/>
        </w:rPr>
        <w:t>Background</w:t>
      </w:r>
      <w:r>
        <w:rPr>
          <w:rFonts w:ascii="Myriad Pro"/>
          <w:i/>
          <w:color w:val="414042"/>
          <w:spacing w:val="-7"/>
          <w:sz w:val="25"/>
        </w:rPr>
        <w:t> </w:t>
      </w:r>
      <w:r>
        <w:rPr>
          <w:rFonts w:ascii="Myriad Pro"/>
          <w:i/>
          <w:color w:val="414042"/>
          <w:sz w:val="25"/>
        </w:rPr>
        <w:t>Paper</w:t>
      </w:r>
      <w:r>
        <w:rPr>
          <w:rFonts w:ascii="Myriad Pro"/>
          <w:i/>
          <w:color w:val="414042"/>
          <w:spacing w:val="-6"/>
          <w:sz w:val="25"/>
        </w:rPr>
        <w:t> </w:t>
      </w:r>
      <w:r>
        <w:rPr>
          <w:rFonts w:ascii="Myriad Pro"/>
          <w:i/>
          <w:color w:val="414042"/>
          <w:sz w:val="25"/>
        </w:rPr>
        <w:t>series</w:t>
      </w:r>
      <w:r>
        <w:rPr>
          <w:rFonts w:ascii="Myriad Pro"/>
          <w:i/>
          <w:color w:val="414042"/>
          <w:spacing w:val="-6"/>
          <w:sz w:val="25"/>
        </w:rPr>
        <w:t> </w:t>
      </w:r>
      <w:r>
        <w:rPr>
          <w:rFonts w:ascii="Myriad Pro"/>
          <w:i/>
          <w:color w:val="414042"/>
          <w:sz w:val="25"/>
        </w:rPr>
        <w:t>will</w:t>
      </w:r>
      <w:r>
        <w:rPr>
          <w:rFonts w:ascii="Myriad Pro"/>
          <w:i/>
          <w:color w:val="414042"/>
          <w:spacing w:val="-7"/>
          <w:sz w:val="25"/>
        </w:rPr>
        <w:t> </w:t>
      </w:r>
      <w:r>
        <w:rPr>
          <w:rFonts w:ascii="Myriad Pro"/>
          <w:i/>
          <w:color w:val="414042"/>
          <w:sz w:val="25"/>
        </w:rPr>
        <w:t>be</w:t>
      </w:r>
      <w:r>
        <w:rPr>
          <w:rFonts w:ascii="Myriad Pro"/>
          <w:i/>
          <w:color w:val="414042"/>
          <w:spacing w:val="-6"/>
          <w:sz w:val="25"/>
        </w:rPr>
        <w:t> </w:t>
      </w:r>
      <w:r>
        <w:rPr>
          <w:rFonts w:ascii="Myriad Pro"/>
          <w:i/>
          <w:color w:val="414042"/>
          <w:sz w:val="25"/>
        </w:rPr>
        <w:t>finalized</w:t>
      </w:r>
      <w:r>
        <w:rPr>
          <w:rFonts w:ascii="Myriad Pro"/>
          <w:i/>
          <w:color w:val="414042"/>
          <w:spacing w:val="-6"/>
          <w:sz w:val="25"/>
        </w:rPr>
        <w:t> </w:t>
      </w:r>
      <w:r>
        <w:rPr>
          <w:rFonts w:ascii="Myriad Pro"/>
          <w:i/>
          <w:color w:val="414042"/>
          <w:sz w:val="25"/>
        </w:rPr>
        <w:t>in</w:t>
      </w:r>
      <w:r>
        <w:rPr>
          <w:rFonts w:ascii="Myriad Pro"/>
          <w:i/>
          <w:color w:val="414042"/>
          <w:spacing w:val="-7"/>
          <w:sz w:val="25"/>
        </w:rPr>
        <w:t> </w:t>
      </w:r>
      <w:r>
        <w:rPr>
          <w:rFonts w:ascii="Myriad Pro"/>
          <w:i/>
          <w:color w:val="414042"/>
          <w:sz w:val="25"/>
        </w:rPr>
        <w:t>June/July</w:t>
      </w:r>
      <w:r>
        <w:rPr>
          <w:rFonts w:ascii="Myriad Pro"/>
          <w:i/>
          <w:color w:val="414042"/>
          <w:spacing w:val="-6"/>
          <w:sz w:val="25"/>
        </w:rPr>
        <w:t> </w:t>
      </w:r>
      <w:r>
        <w:rPr>
          <w:rFonts w:ascii="Myriad Pro"/>
          <w:i/>
          <w:color w:val="414042"/>
          <w:sz w:val="25"/>
        </w:rPr>
        <w:t>2019</w:t>
      </w:r>
      <w:r>
        <w:rPr>
          <w:rFonts w:ascii="Myriad Pro"/>
          <w:i/>
          <w:color w:val="414042"/>
          <w:spacing w:val="-6"/>
          <w:sz w:val="25"/>
        </w:rPr>
        <w:t> </w:t>
      </w:r>
      <w:r>
        <w:rPr>
          <w:rFonts w:ascii="Myriad Pro"/>
          <w:i/>
          <w:color w:val="414042"/>
          <w:sz w:val="25"/>
        </w:rPr>
        <w:t>after</w:t>
      </w:r>
      <w:r>
        <w:rPr>
          <w:rFonts w:ascii="Myriad Pro"/>
          <w:i/>
          <w:color w:val="414042"/>
          <w:spacing w:val="-7"/>
          <w:sz w:val="25"/>
        </w:rPr>
        <w:t> </w:t>
      </w:r>
      <w:r>
        <w:rPr>
          <w:rFonts w:ascii="Myriad Pro"/>
          <w:i/>
          <w:color w:val="414042"/>
          <w:sz w:val="25"/>
        </w:rPr>
        <w:t>the</w:t>
      </w:r>
      <w:r>
        <w:rPr>
          <w:rFonts w:ascii="Myriad Pro"/>
          <w:i/>
          <w:color w:val="414042"/>
          <w:spacing w:val="-6"/>
          <w:sz w:val="25"/>
        </w:rPr>
        <w:t> </w:t>
      </w:r>
      <w:r>
        <w:rPr>
          <w:rFonts w:ascii="Myriad Pro"/>
          <w:i/>
          <w:color w:val="414042"/>
          <w:sz w:val="25"/>
        </w:rPr>
        <w:t>PRE-LEAP-RE</w:t>
      </w:r>
      <w:r>
        <w:rPr>
          <w:rFonts w:ascii="Myriad Pro"/>
          <w:i/>
          <w:color w:val="414042"/>
          <w:spacing w:val="-6"/>
          <w:sz w:val="25"/>
        </w:rPr>
        <w:t> </w:t>
      </w:r>
      <w:r>
        <w:rPr>
          <w:rFonts w:ascii="Myriad Pro"/>
          <w:i/>
          <w:color w:val="414042"/>
          <w:sz w:val="25"/>
        </w:rPr>
        <w:t>#2 Strategic</w:t>
      </w:r>
      <w:r>
        <w:rPr>
          <w:rFonts w:ascii="Myriad Pro"/>
          <w:i/>
          <w:color w:val="414042"/>
          <w:spacing w:val="-5"/>
          <w:sz w:val="25"/>
        </w:rPr>
        <w:t> </w:t>
      </w:r>
      <w:r>
        <w:rPr>
          <w:rFonts w:ascii="Myriad Pro"/>
          <w:i/>
          <w:color w:val="414042"/>
          <w:sz w:val="25"/>
        </w:rPr>
        <w:t>Workshop</w:t>
      </w:r>
      <w:r>
        <w:rPr>
          <w:rFonts w:ascii="Myriad Pro"/>
          <w:i/>
          <w:color w:val="414042"/>
          <w:spacing w:val="-4"/>
          <w:sz w:val="25"/>
        </w:rPr>
        <w:t> </w:t>
      </w:r>
      <w:r>
        <w:rPr>
          <w:rFonts w:ascii="Myriad Pro"/>
          <w:i/>
          <w:color w:val="414042"/>
          <w:sz w:val="25"/>
        </w:rPr>
        <w:t>from</w:t>
      </w:r>
      <w:r>
        <w:rPr>
          <w:rFonts w:ascii="Myriad Pro"/>
          <w:i/>
          <w:color w:val="414042"/>
          <w:spacing w:val="-4"/>
          <w:sz w:val="25"/>
        </w:rPr>
        <w:t> </w:t>
      </w:r>
      <w:r>
        <w:rPr>
          <w:rFonts w:ascii="Myriad Pro"/>
          <w:i/>
          <w:color w:val="414042"/>
          <w:sz w:val="25"/>
        </w:rPr>
        <w:t>24-26</w:t>
      </w:r>
      <w:r>
        <w:rPr>
          <w:rFonts w:ascii="Myriad Pro"/>
          <w:i/>
          <w:color w:val="414042"/>
          <w:spacing w:val="-4"/>
          <w:sz w:val="25"/>
        </w:rPr>
        <w:t> </w:t>
      </w:r>
      <w:r>
        <w:rPr>
          <w:rFonts w:ascii="Myriad Pro"/>
          <w:i/>
          <w:color w:val="414042"/>
          <w:sz w:val="25"/>
        </w:rPr>
        <w:t>June</w:t>
      </w:r>
      <w:r>
        <w:rPr>
          <w:rFonts w:ascii="Myriad Pro"/>
          <w:i/>
          <w:color w:val="414042"/>
          <w:spacing w:val="-4"/>
          <w:sz w:val="25"/>
        </w:rPr>
        <w:t> </w:t>
      </w:r>
      <w:r>
        <w:rPr>
          <w:rFonts w:ascii="Myriad Pro"/>
          <w:i/>
          <w:color w:val="414042"/>
          <w:sz w:val="25"/>
        </w:rPr>
        <w:t>2019</w:t>
      </w:r>
      <w:r>
        <w:rPr>
          <w:rFonts w:ascii="Myriad Pro"/>
          <w:i/>
          <w:color w:val="414042"/>
          <w:spacing w:val="-4"/>
          <w:sz w:val="25"/>
        </w:rPr>
        <w:t> </w:t>
      </w:r>
      <w:r>
        <w:rPr>
          <w:rFonts w:ascii="Myriad Pro"/>
          <w:i/>
          <w:color w:val="414042"/>
          <w:sz w:val="25"/>
        </w:rPr>
        <w:t>in</w:t>
      </w:r>
      <w:r>
        <w:rPr>
          <w:rFonts w:ascii="Myriad Pro"/>
          <w:i/>
          <w:color w:val="414042"/>
          <w:spacing w:val="-4"/>
          <w:sz w:val="25"/>
        </w:rPr>
        <w:t> </w:t>
      </w:r>
      <w:r>
        <w:rPr>
          <w:rFonts w:ascii="Myriad Pro"/>
          <w:i/>
          <w:color w:val="414042"/>
          <w:sz w:val="25"/>
        </w:rPr>
        <w:t>Stellenbosch,</w:t>
      </w:r>
      <w:r>
        <w:rPr>
          <w:rFonts w:ascii="Myriad Pro"/>
          <w:i/>
          <w:color w:val="414042"/>
          <w:spacing w:val="-4"/>
          <w:sz w:val="25"/>
        </w:rPr>
        <w:t> </w:t>
      </w:r>
      <w:r>
        <w:rPr>
          <w:rFonts w:ascii="Myriad Pro"/>
          <w:i/>
          <w:color w:val="414042"/>
          <w:sz w:val="25"/>
        </w:rPr>
        <w:t>South</w:t>
      </w:r>
      <w:r>
        <w:rPr>
          <w:rFonts w:ascii="Myriad Pro"/>
          <w:i/>
          <w:color w:val="414042"/>
          <w:spacing w:val="-5"/>
          <w:sz w:val="25"/>
        </w:rPr>
        <w:t> </w:t>
      </w:r>
      <w:r>
        <w:rPr>
          <w:rFonts w:ascii="Myriad Pro"/>
          <w:i/>
          <w:color w:val="414042"/>
          <w:sz w:val="25"/>
        </w:rPr>
        <w:t>Africa.</w:t>
      </w:r>
    </w:p>
    <w:p>
      <w:pPr>
        <w:pStyle w:val="BodyText"/>
        <w:spacing w:before="6"/>
        <w:rPr>
          <w:rFonts w:ascii="Myriad Pro"/>
          <w:i/>
          <w:sz w:val="23"/>
        </w:rPr>
      </w:pPr>
    </w:p>
    <w:p>
      <w:pPr>
        <w:pStyle w:val="Heading2"/>
        <w:spacing w:line="240" w:lineRule="auto"/>
        <w:ind w:left="1039"/>
        <w:jc w:val="left"/>
        <w:rPr>
          <w:rFonts w:ascii="Myriad Pro Light"/>
          <w:b/>
        </w:rPr>
      </w:pPr>
      <w:r>
        <w:rPr>
          <w:rFonts w:ascii="Myriad Pro Light"/>
          <w:b/>
          <w:color w:val="12A14A"/>
        </w:rPr>
        <w:t>The current Background Papers:</w:t>
      </w:r>
    </w:p>
    <w:p>
      <w:pPr>
        <w:pStyle w:val="BodyText"/>
        <w:spacing w:before="11"/>
        <w:rPr>
          <w:rFonts w:ascii="Myriad Pro Light"/>
          <w:b/>
        </w:rPr>
      </w:pPr>
    </w:p>
    <w:p>
      <w:pPr>
        <w:spacing w:line="294" w:lineRule="exact" w:before="0"/>
        <w:ind w:left="1039" w:right="0" w:firstLine="0"/>
        <w:jc w:val="left"/>
        <w:rPr>
          <w:rFonts w:ascii="Myriad Pro Light"/>
          <w:b/>
          <w:sz w:val="25"/>
        </w:rPr>
      </w:pPr>
      <w:r>
        <w:rPr>
          <w:rFonts w:ascii="Myriad Pro Light"/>
          <w:b/>
          <w:color w:val="12A14A"/>
          <w:sz w:val="25"/>
        </w:rPr>
        <w:t>#1 BP Roadmaps &amp; Ecosystem</w:t>
      </w:r>
    </w:p>
    <w:p>
      <w:pPr>
        <w:spacing w:line="230" w:lineRule="auto" w:before="0"/>
        <w:ind w:left="1771" w:right="1367" w:firstLine="0"/>
        <w:jc w:val="left"/>
        <w:rPr>
          <w:sz w:val="25"/>
        </w:rPr>
      </w:pPr>
      <w:r>
        <w:rPr>
          <w:color w:val="414042"/>
          <w:sz w:val="25"/>
        </w:rPr>
        <w:t>Multi-Annual Roadmaps on Research &amp;Innovation and Human &amp; Institutional Capacity Building - Agendas &amp; Pathways </w:t>
      </w:r>
      <w:r>
        <w:rPr>
          <w:color w:val="414042"/>
          <w:w w:val="90"/>
          <w:sz w:val="25"/>
        </w:rPr>
        <w:t>| </w:t>
      </w:r>
      <w:r>
        <w:rPr>
          <w:color w:val="414042"/>
          <w:sz w:val="25"/>
        </w:rPr>
        <w:t>Outcomes from the PRE-LEAP-RE Ecosystem Analysis</w:t>
      </w:r>
    </w:p>
    <w:p>
      <w:pPr>
        <w:pStyle w:val="BodyText"/>
        <w:spacing w:before="8"/>
      </w:pPr>
    </w:p>
    <w:p>
      <w:pPr>
        <w:spacing w:line="302" w:lineRule="exact" w:before="0"/>
        <w:ind w:left="1039" w:right="0" w:firstLine="0"/>
        <w:jc w:val="left"/>
        <w:rPr>
          <w:rFonts w:ascii="Myriad Pro Light"/>
          <w:b/>
          <w:sz w:val="25"/>
        </w:rPr>
      </w:pPr>
      <w:r>
        <w:rPr>
          <w:rFonts w:ascii="Myriad Pro Light"/>
          <w:b/>
          <w:color w:val="12A14A"/>
          <w:sz w:val="25"/>
        </w:rPr>
        <w:t>#2 BP Funding &amp; Private Sector</w:t>
      </w:r>
    </w:p>
    <w:p>
      <w:pPr>
        <w:spacing w:line="230" w:lineRule="auto" w:before="6"/>
        <w:ind w:left="1771" w:right="1254" w:firstLine="0"/>
        <w:jc w:val="left"/>
        <w:rPr>
          <w:sz w:val="25"/>
        </w:rPr>
      </w:pPr>
      <w:r>
        <w:rPr>
          <w:color w:val="414042"/>
          <w:sz w:val="25"/>
        </w:rPr>
        <w:t>Funding</w:t>
      </w:r>
      <w:r>
        <w:rPr>
          <w:color w:val="414042"/>
          <w:spacing w:val="-11"/>
          <w:sz w:val="25"/>
        </w:rPr>
        <w:t> </w:t>
      </w:r>
      <w:r>
        <w:rPr>
          <w:color w:val="414042"/>
          <w:sz w:val="25"/>
        </w:rPr>
        <w:t>Concept</w:t>
      </w:r>
      <w:r>
        <w:rPr>
          <w:color w:val="414042"/>
          <w:spacing w:val="-11"/>
          <w:sz w:val="25"/>
        </w:rPr>
        <w:t> </w:t>
      </w:r>
      <w:r>
        <w:rPr>
          <w:color w:val="414042"/>
          <w:w w:val="90"/>
          <w:sz w:val="25"/>
        </w:rPr>
        <w:t>|</w:t>
      </w:r>
      <w:r>
        <w:rPr>
          <w:color w:val="414042"/>
          <w:spacing w:val="-5"/>
          <w:w w:val="90"/>
          <w:sz w:val="25"/>
        </w:rPr>
        <w:t> </w:t>
      </w:r>
      <w:r>
        <w:rPr>
          <w:color w:val="414042"/>
          <w:sz w:val="25"/>
        </w:rPr>
        <w:t>Private</w:t>
      </w:r>
      <w:r>
        <w:rPr>
          <w:color w:val="414042"/>
          <w:spacing w:val="-11"/>
          <w:sz w:val="25"/>
        </w:rPr>
        <w:t> </w:t>
      </w:r>
      <w:r>
        <w:rPr>
          <w:color w:val="414042"/>
          <w:sz w:val="25"/>
        </w:rPr>
        <w:t>Sector</w:t>
      </w:r>
      <w:r>
        <w:rPr>
          <w:color w:val="414042"/>
          <w:spacing w:val="-11"/>
          <w:sz w:val="25"/>
        </w:rPr>
        <w:t> </w:t>
      </w:r>
      <w:r>
        <w:rPr>
          <w:color w:val="414042"/>
          <w:sz w:val="25"/>
        </w:rPr>
        <w:t>Involvement</w:t>
      </w:r>
      <w:r>
        <w:rPr>
          <w:color w:val="414042"/>
          <w:spacing w:val="-11"/>
          <w:sz w:val="25"/>
        </w:rPr>
        <w:t> </w:t>
      </w:r>
      <w:r>
        <w:rPr>
          <w:color w:val="414042"/>
          <w:w w:val="90"/>
          <w:sz w:val="25"/>
        </w:rPr>
        <w:t>|</w:t>
      </w:r>
      <w:r>
        <w:rPr>
          <w:color w:val="414042"/>
          <w:spacing w:val="-5"/>
          <w:w w:val="90"/>
          <w:sz w:val="25"/>
        </w:rPr>
        <w:t> </w:t>
      </w:r>
      <w:r>
        <w:rPr>
          <w:color w:val="414042"/>
          <w:sz w:val="25"/>
        </w:rPr>
        <w:t>Open</w:t>
      </w:r>
      <w:r>
        <w:rPr>
          <w:color w:val="414042"/>
          <w:spacing w:val="-11"/>
          <w:sz w:val="25"/>
        </w:rPr>
        <w:t> </w:t>
      </w:r>
      <w:r>
        <w:rPr>
          <w:color w:val="414042"/>
          <w:sz w:val="25"/>
        </w:rPr>
        <w:t>Philosophy</w:t>
      </w:r>
      <w:r>
        <w:rPr>
          <w:color w:val="414042"/>
          <w:spacing w:val="-11"/>
          <w:sz w:val="25"/>
        </w:rPr>
        <w:t> </w:t>
      </w:r>
      <w:r>
        <w:rPr>
          <w:color w:val="414042"/>
          <w:sz w:val="25"/>
        </w:rPr>
        <w:t>&amp;</w:t>
      </w:r>
      <w:r>
        <w:rPr>
          <w:color w:val="414042"/>
          <w:spacing w:val="-10"/>
          <w:sz w:val="25"/>
        </w:rPr>
        <w:t> </w:t>
      </w:r>
      <w:r>
        <w:rPr>
          <w:color w:val="414042"/>
          <w:sz w:val="25"/>
        </w:rPr>
        <w:t>Intellectual</w:t>
      </w:r>
      <w:r>
        <w:rPr>
          <w:color w:val="414042"/>
          <w:spacing w:val="-11"/>
          <w:sz w:val="25"/>
        </w:rPr>
        <w:t> </w:t>
      </w:r>
      <w:r>
        <w:rPr>
          <w:color w:val="414042"/>
          <w:sz w:val="25"/>
        </w:rPr>
        <w:t>Property Rights</w:t>
      </w:r>
    </w:p>
    <w:p>
      <w:pPr>
        <w:pStyle w:val="BodyText"/>
        <w:spacing w:before="9"/>
      </w:pPr>
    </w:p>
    <w:p>
      <w:pPr>
        <w:spacing w:line="302" w:lineRule="exact" w:before="0"/>
        <w:ind w:left="1039" w:right="0" w:firstLine="0"/>
        <w:jc w:val="left"/>
        <w:rPr>
          <w:rFonts w:ascii="Myriad Pro Light"/>
          <w:b/>
          <w:sz w:val="25"/>
        </w:rPr>
      </w:pPr>
      <w:r>
        <w:rPr>
          <w:rFonts w:ascii="Myriad Pro Light"/>
          <w:b/>
          <w:color w:val="12A14A"/>
          <w:sz w:val="25"/>
        </w:rPr>
        <w:t>#3 BP Long-Term Perspective</w:t>
      </w:r>
    </w:p>
    <w:p>
      <w:pPr>
        <w:spacing w:line="295" w:lineRule="exact" w:before="0"/>
        <w:ind w:left="1771" w:right="0" w:firstLine="0"/>
        <w:jc w:val="left"/>
        <w:rPr>
          <w:sz w:val="25"/>
        </w:rPr>
      </w:pPr>
      <w:r>
        <w:rPr>
          <w:color w:val="414042"/>
          <w:sz w:val="25"/>
        </w:rPr>
        <w:t>Theory of Change and Impact Pathways </w:t>
      </w:r>
      <w:r>
        <w:rPr>
          <w:color w:val="414042"/>
          <w:w w:val="90"/>
          <w:sz w:val="25"/>
        </w:rPr>
        <w:t>| </w:t>
      </w:r>
      <w:r>
        <w:rPr>
          <w:color w:val="414042"/>
          <w:sz w:val="25"/>
        </w:rPr>
        <w:t>Programme and Innovation Management Cycle</w:t>
      </w:r>
    </w:p>
    <w:p>
      <w:pPr>
        <w:spacing w:line="230" w:lineRule="auto" w:before="4"/>
        <w:ind w:left="1771" w:right="1484" w:firstLine="0"/>
        <w:jc w:val="left"/>
        <w:rPr>
          <w:sz w:val="25"/>
        </w:rPr>
      </w:pPr>
      <w:r>
        <w:rPr>
          <w:color w:val="414042"/>
          <w:w w:val="90"/>
          <w:sz w:val="25"/>
        </w:rPr>
        <w:t>|</w:t>
      </w:r>
      <w:r>
        <w:rPr>
          <w:color w:val="414042"/>
          <w:spacing w:val="-7"/>
          <w:w w:val="90"/>
          <w:sz w:val="25"/>
        </w:rPr>
        <w:t> </w:t>
      </w:r>
      <w:r>
        <w:rPr>
          <w:color w:val="414042"/>
          <w:sz w:val="25"/>
        </w:rPr>
        <w:t>Knowledge</w:t>
      </w:r>
      <w:r>
        <w:rPr>
          <w:color w:val="414042"/>
          <w:spacing w:val="-12"/>
          <w:sz w:val="25"/>
        </w:rPr>
        <w:t> </w:t>
      </w:r>
      <w:r>
        <w:rPr>
          <w:color w:val="414042"/>
          <w:sz w:val="25"/>
        </w:rPr>
        <w:t>Management</w:t>
      </w:r>
      <w:r>
        <w:rPr>
          <w:color w:val="414042"/>
          <w:spacing w:val="-12"/>
          <w:sz w:val="25"/>
        </w:rPr>
        <w:t> </w:t>
      </w:r>
      <w:r>
        <w:rPr>
          <w:color w:val="414042"/>
          <w:sz w:val="25"/>
        </w:rPr>
        <w:t>and</w:t>
      </w:r>
      <w:r>
        <w:rPr>
          <w:color w:val="414042"/>
          <w:spacing w:val="-12"/>
          <w:sz w:val="25"/>
        </w:rPr>
        <w:t> </w:t>
      </w:r>
      <w:r>
        <w:rPr>
          <w:color w:val="414042"/>
          <w:sz w:val="25"/>
        </w:rPr>
        <w:t>Communication</w:t>
      </w:r>
      <w:r>
        <w:rPr>
          <w:color w:val="414042"/>
          <w:spacing w:val="-12"/>
          <w:sz w:val="25"/>
        </w:rPr>
        <w:t> </w:t>
      </w:r>
      <w:r>
        <w:rPr>
          <w:color w:val="414042"/>
          <w:sz w:val="25"/>
        </w:rPr>
        <w:t>Framework</w:t>
      </w:r>
      <w:r>
        <w:rPr>
          <w:color w:val="414042"/>
          <w:spacing w:val="-12"/>
          <w:sz w:val="25"/>
        </w:rPr>
        <w:t> </w:t>
      </w:r>
      <w:r>
        <w:rPr>
          <w:color w:val="414042"/>
          <w:w w:val="90"/>
          <w:sz w:val="25"/>
        </w:rPr>
        <w:t>|</w:t>
      </w:r>
      <w:r>
        <w:rPr>
          <w:color w:val="414042"/>
          <w:spacing w:val="-7"/>
          <w:w w:val="90"/>
          <w:sz w:val="25"/>
        </w:rPr>
        <w:t> </w:t>
      </w:r>
      <w:r>
        <w:rPr>
          <w:color w:val="414042"/>
          <w:sz w:val="25"/>
        </w:rPr>
        <w:t>Monitoring</w:t>
      </w:r>
      <w:r>
        <w:rPr>
          <w:color w:val="414042"/>
          <w:spacing w:val="-12"/>
          <w:sz w:val="25"/>
        </w:rPr>
        <w:t> </w:t>
      </w:r>
      <w:r>
        <w:rPr>
          <w:color w:val="414042"/>
          <w:sz w:val="25"/>
        </w:rPr>
        <w:t>&amp;</w:t>
      </w:r>
      <w:r>
        <w:rPr>
          <w:color w:val="414042"/>
          <w:spacing w:val="-12"/>
          <w:sz w:val="25"/>
        </w:rPr>
        <w:t> </w:t>
      </w:r>
      <w:r>
        <w:rPr>
          <w:color w:val="414042"/>
          <w:sz w:val="25"/>
        </w:rPr>
        <w:t>Evaluation Concept</w:t>
      </w:r>
    </w:p>
    <w:p>
      <w:pPr>
        <w:pStyle w:val="BodyText"/>
        <w:spacing w:before="9"/>
      </w:pPr>
    </w:p>
    <w:p>
      <w:pPr>
        <w:spacing w:line="302" w:lineRule="exact" w:before="0"/>
        <w:ind w:left="1039" w:right="0" w:firstLine="0"/>
        <w:jc w:val="left"/>
        <w:rPr>
          <w:rFonts w:ascii="Myriad Pro Light"/>
          <w:b/>
          <w:sz w:val="25"/>
        </w:rPr>
      </w:pPr>
      <w:r>
        <w:rPr>
          <w:rFonts w:ascii="Myriad Pro Light"/>
          <w:b/>
          <w:color w:val="12A14A"/>
          <w:sz w:val="25"/>
        </w:rPr>
        <w:t>#4 BP Individual Funding &amp; Contribution Regulations</w:t>
      </w:r>
    </w:p>
    <w:p>
      <w:pPr>
        <w:spacing w:line="230" w:lineRule="auto" w:before="6"/>
        <w:ind w:left="1771" w:right="1367" w:firstLine="0"/>
        <w:jc w:val="left"/>
        <w:rPr>
          <w:sz w:val="25"/>
        </w:rPr>
      </w:pPr>
      <w:r>
        <w:rPr>
          <w:color w:val="414042"/>
          <w:sz w:val="25"/>
        </w:rPr>
        <w:t>Individual (National) funding regulations will be collected and have to be applied supplementing the general agreed funding regulations of the consortium.</w:t>
      </w:r>
    </w:p>
    <w:p>
      <w:pPr>
        <w:pStyle w:val="BodyText"/>
        <w:rPr>
          <w:sz w:val="20"/>
        </w:rPr>
      </w:pPr>
    </w:p>
    <w:p>
      <w:pPr>
        <w:pStyle w:val="BodyText"/>
        <w:spacing w:before="8"/>
        <w:rPr>
          <w:sz w:val="13"/>
        </w:rPr>
      </w:pPr>
      <w:r>
        <w:rPr/>
        <w:pict>
          <v:group style="position:absolute;margin-left:190.999802pt;margin-top:10.323590pt;width:213pt;height:.75pt;mso-position-horizontal-relative:page;mso-position-vertical-relative:paragraph;z-index:-928;mso-wrap-distance-left:0;mso-wrap-distance-right:0" coordorigin="3820,206" coordsize="4260,15">
            <v:line style="position:absolute" from="3820,214" to="8080,214" stroked="true" strokeweight="0pt" strokecolor="#959798">
              <v:stroke dashstyle="solid"/>
            </v:line>
            <v:line style="position:absolute" from="3820,214" to="8080,214" stroked="true" strokeweight=".75pt" strokecolor="#231f20">
              <v:stroke dashstyle="solid"/>
            </v:line>
            <w10:wrap type="topAndBottom"/>
          </v:group>
        </w:pict>
      </w:r>
    </w:p>
    <w:p>
      <w:pPr>
        <w:pStyle w:val="BodyText"/>
        <w:spacing w:before="5"/>
        <w:rPr>
          <w:sz w:val="18"/>
        </w:rPr>
      </w:pPr>
    </w:p>
    <w:p>
      <w:pPr>
        <w:spacing w:line="301" w:lineRule="exact" w:before="107"/>
        <w:ind w:left="1072" w:right="0" w:firstLine="0"/>
        <w:jc w:val="both"/>
        <w:rPr>
          <w:rFonts w:ascii="Myriad Pro Light"/>
          <w:b/>
          <w:sz w:val="25"/>
        </w:rPr>
      </w:pPr>
      <w:r>
        <w:rPr>
          <w:rFonts w:ascii="Myriad Pro Light"/>
          <w:b/>
          <w:color w:val="12A14A"/>
          <w:sz w:val="25"/>
        </w:rPr>
        <w:t>Co-coordinators for this Background Paper</w:t>
      </w:r>
    </w:p>
    <w:p>
      <w:pPr>
        <w:spacing w:line="295" w:lineRule="exact" w:before="0"/>
        <w:ind w:left="1072" w:right="0" w:firstLine="0"/>
        <w:jc w:val="both"/>
        <w:rPr>
          <w:sz w:val="25"/>
        </w:rPr>
      </w:pPr>
      <w:r>
        <w:rPr>
          <w:color w:val="414042"/>
          <w:sz w:val="25"/>
        </w:rPr>
        <w:t>Mr Fadel Traoré </w:t>
      </w:r>
      <w:r>
        <w:rPr>
          <w:color w:val="414042"/>
          <w:w w:val="90"/>
          <w:sz w:val="25"/>
        </w:rPr>
        <w:t>| </w:t>
      </w:r>
      <w:hyperlink r:id="rId13">
        <w:r>
          <w:rPr>
            <w:color w:val="414042"/>
            <w:sz w:val="25"/>
          </w:rPr>
          <w:t>Fadel.Traor</w:t>
        </w:r>
      </w:hyperlink>
      <w:hyperlink r:id="rId14">
        <w:r>
          <w:rPr>
            <w:color w:val="414042"/>
            <w:sz w:val="25"/>
          </w:rPr>
          <w:t>e@ANER.sn</w:t>
        </w:r>
      </w:hyperlink>
    </w:p>
    <w:p>
      <w:pPr>
        <w:spacing w:line="299" w:lineRule="exact" w:before="0"/>
        <w:ind w:left="1072" w:right="0" w:firstLine="0"/>
        <w:jc w:val="both"/>
        <w:rPr>
          <w:sz w:val="25"/>
        </w:rPr>
      </w:pPr>
      <w:r>
        <w:rPr>
          <w:color w:val="414042"/>
          <w:sz w:val="25"/>
        </w:rPr>
        <w:t>Mr Stefan A. Haffner </w:t>
      </w:r>
      <w:r>
        <w:rPr>
          <w:color w:val="414042"/>
          <w:w w:val="90"/>
          <w:sz w:val="25"/>
        </w:rPr>
        <w:t>| </w:t>
      </w:r>
      <w:hyperlink r:id="rId15">
        <w:r>
          <w:rPr>
            <w:color w:val="414042"/>
            <w:sz w:val="25"/>
          </w:rPr>
          <w:t>Stefan.Haffner@DLR.de</w:t>
        </w:r>
      </w:hyperlink>
    </w:p>
    <w:p>
      <w:pPr>
        <w:pStyle w:val="BodyText"/>
        <w:spacing w:before="6"/>
      </w:pPr>
    </w:p>
    <w:p>
      <w:pPr>
        <w:spacing w:line="299" w:lineRule="exact" w:before="1"/>
        <w:ind w:left="1072" w:right="0" w:firstLine="0"/>
        <w:jc w:val="both"/>
        <w:rPr>
          <w:rFonts w:ascii="Myriad Pro Light"/>
          <w:b/>
          <w:sz w:val="25"/>
        </w:rPr>
      </w:pPr>
      <w:r>
        <w:rPr>
          <w:rFonts w:ascii="Myriad Pro Light"/>
          <w:b/>
          <w:color w:val="12A14A"/>
          <w:sz w:val="25"/>
        </w:rPr>
        <w:t>Team of co-authors</w:t>
      </w:r>
    </w:p>
    <w:p>
      <w:pPr>
        <w:spacing w:line="295" w:lineRule="exact" w:before="0"/>
        <w:ind w:left="1072" w:right="0" w:firstLine="0"/>
        <w:jc w:val="both"/>
        <w:rPr>
          <w:sz w:val="25"/>
        </w:rPr>
      </w:pPr>
      <w:r>
        <w:rPr>
          <w:rFonts w:ascii="Myriad Pro Light"/>
          <w:b/>
          <w:color w:val="12A14A"/>
          <w:sz w:val="25"/>
        </w:rPr>
        <w:t>AESG, </w:t>
      </w:r>
      <w:r>
        <w:rPr>
          <w:color w:val="414042"/>
          <w:sz w:val="25"/>
        </w:rPr>
        <w:t>Rwanda (Africa Energy Services Group Ltd.)</w:t>
      </w:r>
    </w:p>
    <w:p>
      <w:pPr>
        <w:spacing w:line="293" w:lineRule="exact" w:before="0"/>
        <w:ind w:left="1072" w:right="0" w:firstLine="0"/>
        <w:jc w:val="both"/>
        <w:rPr>
          <w:sz w:val="25"/>
        </w:rPr>
      </w:pPr>
      <w:r>
        <w:rPr>
          <w:rFonts w:ascii="Myriad Pro Light" w:hAnsi="Myriad Pro Light"/>
          <w:b/>
          <w:color w:val="12A14A"/>
          <w:sz w:val="25"/>
        </w:rPr>
        <w:t>ANER, </w:t>
      </w:r>
      <w:r>
        <w:rPr>
          <w:color w:val="414042"/>
          <w:sz w:val="25"/>
        </w:rPr>
        <w:t>Sénégal (Agence Nationale pour les Energies Renouvable)</w:t>
      </w:r>
    </w:p>
    <w:p>
      <w:pPr>
        <w:spacing w:line="225" w:lineRule="auto" w:before="5"/>
        <w:ind w:left="1072" w:right="3001" w:firstLine="0"/>
        <w:jc w:val="both"/>
        <w:rPr>
          <w:sz w:val="25"/>
        </w:rPr>
      </w:pPr>
      <w:r>
        <w:rPr>
          <w:rFonts w:ascii="Myriad Pro Light" w:hAnsi="Myriad Pro Light"/>
          <w:b/>
          <w:color w:val="12A14A"/>
          <w:sz w:val="25"/>
        </w:rPr>
        <w:t>CEA, </w:t>
      </w:r>
      <w:r>
        <w:rPr>
          <w:color w:val="414042"/>
          <w:sz w:val="25"/>
        </w:rPr>
        <w:t>France (Commissariat à l'énergie atomique et aux énergies alternatives) </w:t>
      </w:r>
      <w:r>
        <w:rPr>
          <w:rFonts w:ascii="Myriad Pro Light" w:hAnsi="Myriad Pro Light"/>
          <w:b/>
          <w:color w:val="12A14A"/>
          <w:spacing w:val="-3"/>
          <w:sz w:val="25"/>
        </w:rPr>
        <w:t>DLR-PT, </w:t>
      </w:r>
      <w:r>
        <w:rPr>
          <w:color w:val="414042"/>
          <w:sz w:val="25"/>
        </w:rPr>
        <w:t>Germany (German Aerospace Center – Project Management</w:t>
      </w:r>
      <w:r>
        <w:rPr>
          <w:color w:val="414042"/>
          <w:spacing w:val="-40"/>
          <w:sz w:val="25"/>
        </w:rPr>
        <w:t> </w:t>
      </w:r>
      <w:r>
        <w:rPr>
          <w:color w:val="414042"/>
          <w:spacing w:val="-3"/>
          <w:sz w:val="25"/>
        </w:rPr>
        <w:t>Agency) </w:t>
      </w:r>
      <w:r>
        <w:rPr>
          <w:rFonts w:ascii="Myriad Pro Light" w:hAnsi="Myriad Pro Light"/>
          <w:b/>
          <w:color w:val="12A14A"/>
          <w:spacing w:val="-5"/>
          <w:sz w:val="25"/>
        </w:rPr>
        <w:t>DST, </w:t>
      </w:r>
      <w:r>
        <w:rPr>
          <w:color w:val="414042"/>
          <w:sz w:val="25"/>
        </w:rPr>
        <w:t>South Africa (Department of Science and</w:t>
      </w:r>
      <w:r>
        <w:rPr>
          <w:color w:val="414042"/>
          <w:spacing w:val="-34"/>
          <w:sz w:val="25"/>
        </w:rPr>
        <w:t> </w:t>
      </w:r>
      <w:r>
        <w:rPr>
          <w:color w:val="414042"/>
          <w:sz w:val="25"/>
        </w:rPr>
        <w:t>Technology)</w:t>
      </w:r>
    </w:p>
    <w:p>
      <w:pPr>
        <w:spacing w:line="290" w:lineRule="exact" w:before="0"/>
        <w:ind w:left="1072" w:right="0" w:firstLine="0"/>
        <w:jc w:val="both"/>
        <w:rPr>
          <w:sz w:val="25"/>
        </w:rPr>
      </w:pPr>
      <w:r>
        <w:rPr>
          <w:rFonts w:ascii="Myriad Pro Light"/>
          <w:b/>
          <w:color w:val="12A14A"/>
          <w:sz w:val="25"/>
        </w:rPr>
        <w:t>IE, </w:t>
      </w:r>
      <w:r>
        <w:rPr>
          <w:color w:val="414042"/>
          <w:sz w:val="25"/>
        </w:rPr>
        <w:t>Belgium (KIC Innoenergy SE)</w:t>
      </w:r>
    </w:p>
    <w:p>
      <w:pPr>
        <w:spacing w:line="293" w:lineRule="exact" w:before="0"/>
        <w:ind w:left="1072" w:right="0" w:firstLine="0"/>
        <w:jc w:val="both"/>
        <w:rPr>
          <w:sz w:val="25"/>
        </w:rPr>
      </w:pPr>
      <w:r>
        <w:rPr>
          <w:rFonts w:ascii="Myriad Pro Light" w:hAnsi="Myriad Pro Light"/>
          <w:b/>
          <w:color w:val="12A14A"/>
          <w:sz w:val="25"/>
        </w:rPr>
        <w:t>JYU/UNIPID, </w:t>
      </w:r>
      <w:r>
        <w:rPr>
          <w:color w:val="414042"/>
          <w:sz w:val="25"/>
        </w:rPr>
        <w:t>Finland (University of Jyväskylä / UniPID)</w:t>
      </w:r>
    </w:p>
    <w:p>
      <w:pPr>
        <w:spacing w:line="293" w:lineRule="exact" w:before="0"/>
        <w:ind w:left="1072" w:right="0" w:firstLine="0"/>
        <w:jc w:val="both"/>
        <w:rPr>
          <w:sz w:val="25"/>
        </w:rPr>
      </w:pPr>
      <w:r>
        <w:rPr>
          <w:rFonts w:ascii="Myriad Pro Light"/>
          <w:b/>
          <w:color w:val="12A14A"/>
          <w:sz w:val="25"/>
        </w:rPr>
        <w:t>LGI, </w:t>
      </w:r>
      <w:r>
        <w:rPr>
          <w:color w:val="414042"/>
          <w:sz w:val="25"/>
        </w:rPr>
        <w:t>France (LGI Consulting)</w:t>
      </w:r>
    </w:p>
    <w:p>
      <w:pPr>
        <w:spacing w:line="293" w:lineRule="exact" w:before="0"/>
        <w:ind w:left="1072" w:right="0" w:firstLine="0"/>
        <w:jc w:val="both"/>
        <w:rPr>
          <w:sz w:val="25"/>
        </w:rPr>
      </w:pPr>
      <w:r>
        <w:rPr>
          <w:rFonts w:ascii="Myriad Pro Light"/>
          <w:b/>
          <w:color w:val="12A14A"/>
          <w:sz w:val="25"/>
        </w:rPr>
        <w:t>MESRS, </w:t>
      </w:r>
      <w:r>
        <w:rPr>
          <w:color w:val="414042"/>
          <w:sz w:val="25"/>
        </w:rPr>
        <w:t>Algeria (Ministry of Higher Education and Scientific Research)</w:t>
      </w:r>
    </w:p>
    <w:p>
      <w:pPr>
        <w:spacing w:line="293" w:lineRule="exact" w:before="0"/>
        <w:ind w:left="1072" w:right="0" w:firstLine="0"/>
        <w:jc w:val="both"/>
        <w:rPr>
          <w:sz w:val="25"/>
        </w:rPr>
      </w:pPr>
      <w:r>
        <w:rPr>
          <w:rFonts w:ascii="Myriad Pro Light"/>
          <w:b/>
          <w:color w:val="12A14A"/>
          <w:sz w:val="25"/>
        </w:rPr>
        <w:t>POLIMI, </w:t>
      </w:r>
      <w:r>
        <w:rPr>
          <w:color w:val="414042"/>
          <w:sz w:val="25"/>
        </w:rPr>
        <w:t>Italy (Politecnico di Milano)</w:t>
      </w:r>
    </w:p>
    <w:p>
      <w:pPr>
        <w:spacing w:line="302" w:lineRule="exact" w:before="0"/>
        <w:ind w:left="1072" w:right="0" w:firstLine="0"/>
        <w:jc w:val="both"/>
        <w:rPr>
          <w:sz w:val="25"/>
        </w:rPr>
      </w:pPr>
      <w:r>
        <w:rPr>
          <w:rFonts w:ascii="Myriad Pro Light"/>
          <w:b/>
          <w:color w:val="12A14A"/>
          <w:sz w:val="25"/>
        </w:rPr>
        <w:t>SU, </w:t>
      </w:r>
      <w:r>
        <w:rPr>
          <w:color w:val="414042"/>
          <w:sz w:val="25"/>
        </w:rPr>
        <w:t>Kenya (Strathmore University)</w:t>
      </w: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5"/>
        <w:rPr>
          <w:sz w:val="34"/>
        </w:rPr>
      </w:pPr>
    </w:p>
    <w:p>
      <w:pPr>
        <w:spacing w:before="0"/>
        <w:ind w:left="1926" w:right="1040" w:firstLine="0"/>
        <w:jc w:val="both"/>
        <w:rPr>
          <w:sz w:val="16"/>
        </w:rPr>
      </w:pPr>
      <w:r>
        <w:rPr/>
        <w:drawing>
          <wp:anchor distT="0" distB="0" distL="0" distR="0" allowOverlap="1" layoutInCell="1" locked="0" behindDoc="0" simplePos="0" relativeHeight="1144">
            <wp:simplePos x="0" y="0"/>
            <wp:positionH relativeFrom="page">
              <wp:posOffset>626110</wp:posOffset>
            </wp:positionH>
            <wp:positionV relativeFrom="paragraph">
              <wp:posOffset>30990</wp:posOffset>
            </wp:positionV>
            <wp:extent cx="429412" cy="291464"/>
            <wp:effectExtent l="0" t="0" r="0" b="0"/>
            <wp:wrapNone/>
            <wp:docPr id="5" name="image7.jpeg" descr=""/>
            <wp:cNvGraphicFramePr>
              <a:graphicFrameLocks noChangeAspect="1"/>
            </wp:cNvGraphicFramePr>
            <a:graphic>
              <a:graphicData uri="http://schemas.openxmlformats.org/drawingml/2006/picture">
                <pic:pic>
                  <pic:nvPicPr>
                    <pic:cNvPr id="6" name="image7.jpeg"/>
                    <pic:cNvPicPr/>
                  </pic:nvPicPr>
                  <pic:blipFill>
                    <a:blip r:embed="rId16" cstate="print"/>
                    <a:stretch>
                      <a:fillRect/>
                    </a:stretch>
                  </pic:blipFill>
                  <pic:spPr>
                    <a:xfrm>
                      <a:off x="0" y="0"/>
                      <a:ext cx="429412" cy="291464"/>
                    </a:xfrm>
                    <a:prstGeom prst="rect">
                      <a:avLst/>
                    </a:prstGeom>
                  </pic:spPr>
                </pic:pic>
              </a:graphicData>
            </a:graphic>
          </wp:anchor>
        </w:drawing>
      </w:r>
      <w:r>
        <w:rPr>
          <w:sz w:val="16"/>
        </w:rPr>
        <w:t>This project has received funding from the European Commission’s Horizon 2020 Research and Innovation Programme. The content in this presentation reflects only the author(s)’s views. The European Commission is not responsible for any use that may be made of the information it contains.</w:t>
      </w:r>
    </w:p>
    <w:p>
      <w:pPr>
        <w:spacing w:after="0"/>
        <w:jc w:val="both"/>
        <w:rPr>
          <w:sz w:val="16"/>
        </w:rPr>
        <w:sectPr>
          <w:pgSz w:w="11910" w:h="16840"/>
          <w:pgMar w:top="300" w:bottom="0" w:left="0" w:right="0"/>
        </w:sectPr>
      </w:pPr>
    </w:p>
    <w:p>
      <w:pPr>
        <w:pStyle w:val="BodyText"/>
        <w:rPr>
          <w:sz w:val="20"/>
        </w:rPr>
      </w:pPr>
    </w:p>
    <w:p>
      <w:pPr>
        <w:pStyle w:val="BodyText"/>
        <w:rPr>
          <w:sz w:val="20"/>
        </w:rPr>
      </w:pPr>
    </w:p>
    <w:p>
      <w:pPr>
        <w:pStyle w:val="BodyText"/>
        <w:spacing w:before="1"/>
        <w:rPr>
          <w:sz w:val="20"/>
        </w:rPr>
      </w:pPr>
    </w:p>
    <w:p>
      <w:pPr>
        <w:pStyle w:val="Heading1"/>
        <w:spacing w:before="44"/>
        <w:ind w:left="4614" w:right="4750" w:firstLine="0"/>
        <w:jc w:val="center"/>
      </w:pPr>
      <w:r>
        <w:rPr>
          <w:color w:val="585858"/>
        </w:rPr>
        <w:t>Content</w:t>
      </w:r>
    </w:p>
    <w:p>
      <w:pPr>
        <w:pStyle w:val="Heading4"/>
        <w:numPr>
          <w:ilvl w:val="0"/>
          <w:numId w:val="1"/>
        </w:numPr>
        <w:tabs>
          <w:tab w:pos="700" w:val="left" w:leader="none"/>
          <w:tab w:pos="9927" w:val="left" w:leader="none"/>
        </w:tabs>
        <w:spacing w:line="240" w:lineRule="auto" w:before="119" w:after="0"/>
        <w:ind w:left="699" w:right="0" w:hanging="566"/>
        <w:jc w:val="both"/>
        <w:rPr>
          <w:i/>
        </w:rPr>
      </w:pPr>
      <w:hyperlink w:history="true" w:anchor="_bookmark0">
        <w:r>
          <w:rPr>
            <w:i/>
            <w:color w:val="585858"/>
          </w:rPr>
          <w:t>Introduction</w:t>
        </w:r>
        <w:r>
          <w:rPr>
            <w:i/>
            <w:color w:val="585858"/>
            <w:u w:val="thick" w:color="575757"/>
          </w:rPr>
          <w:t> </w:t>
          <w:tab/>
        </w:r>
        <w:r>
          <w:rPr>
            <w:i/>
            <w:color w:val="585858"/>
          </w:rPr>
          <w:t>3</w:t>
        </w:r>
      </w:hyperlink>
    </w:p>
    <w:p>
      <w:pPr>
        <w:pStyle w:val="ListParagraph"/>
        <w:numPr>
          <w:ilvl w:val="0"/>
          <w:numId w:val="1"/>
        </w:numPr>
        <w:tabs>
          <w:tab w:pos="700" w:val="left" w:leader="none"/>
          <w:tab w:pos="9927" w:val="left" w:leader="none"/>
        </w:tabs>
        <w:spacing w:line="240" w:lineRule="auto" w:before="120" w:after="0"/>
        <w:ind w:left="699" w:right="0" w:hanging="566"/>
        <w:jc w:val="both"/>
        <w:rPr>
          <w:b/>
          <w:i/>
          <w:sz w:val="24"/>
        </w:rPr>
      </w:pPr>
      <w:hyperlink w:history="true" w:anchor="_bookmark1">
        <w:r>
          <w:rPr>
            <w:b/>
            <w:i/>
            <w:color w:val="585858"/>
            <w:sz w:val="24"/>
          </w:rPr>
          <w:t>Contributor’s</w:t>
        </w:r>
        <w:r>
          <w:rPr>
            <w:b/>
            <w:i/>
            <w:color w:val="585858"/>
            <w:spacing w:val="-7"/>
            <w:sz w:val="24"/>
          </w:rPr>
          <w:t> </w:t>
        </w:r>
        <w:r>
          <w:rPr>
            <w:b/>
            <w:i/>
            <w:color w:val="585858"/>
            <w:sz w:val="24"/>
          </w:rPr>
          <w:t>Networks</w:t>
        </w:r>
        <w:r>
          <w:rPr>
            <w:b/>
            <w:i/>
            <w:color w:val="585858"/>
            <w:sz w:val="24"/>
            <w:u w:val="thick" w:color="575757"/>
          </w:rPr>
          <w:t> </w:t>
          <w:tab/>
        </w:r>
        <w:r>
          <w:rPr>
            <w:b/>
            <w:i/>
            <w:color w:val="585858"/>
            <w:sz w:val="24"/>
          </w:rPr>
          <w:t>3</w:t>
        </w:r>
      </w:hyperlink>
    </w:p>
    <w:p>
      <w:pPr>
        <w:pStyle w:val="ListParagraph"/>
        <w:numPr>
          <w:ilvl w:val="0"/>
          <w:numId w:val="1"/>
        </w:numPr>
        <w:tabs>
          <w:tab w:pos="700" w:val="left" w:leader="none"/>
          <w:tab w:pos="9927" w:val="left" w:leader="none"/>
        </w:tabs>
        <w:spacing w:line="240" w:lineRule="auto" w:before="119" w:after="0"/>
        <w:ind w:left="699" w:right="0" w:hanging="566"/>
        <w:jc w:val="both"/>
        <w:rPr>
          <w:b/>
          <w:i/>
          <w:sz w:val="24"/>
        </w:rPr>
      </w:pPr>
      <w:hyperlink w:history="true" w:anchor="_bookmark2">
        <w:r>
          <w:rPr>
            <w:b/>
            <w:i/>
            <w:color w:val="585858"/>
            <w:sz w:val="24"/>
          </w:rPr>
          <w:t>Open Calls and LEAP-RE</w:t>
        </w:r>
        <w:r>
          <w:rPr>
            <w:b/>
            <w:i/>
            <w:color w:val="585858"/>
            <w:spacing w:val="-9"/>
            <w:sz w:val="24"/>
          </w:rPr>
          <w:t> </w:t>
        </w:r>
        <w:r>
          <w:rPr>
            <w:b/>
            <w:i/>
            <w:color w:val="585858"/>
            <w:sz w:val="24"/>
          </w:rPr>
          <w:t>Consortium</w:t>
        </w:r>
        <w:r>
          <w:rPr>
            <w:b/>
            <w:i/>
            <w:color w:val="585858"/>
            <w:spacing w:val="-5"/>
            <w:sz w:val="24"/>
          </w:rPr>
          <w:t> </w:t>
        </w:r>
        <w:r>
          <w:rPr>
            <w:b/>
            <w:i/>
            <w:color w:val="585858"/>
            <w:sz w:val="24"/>
          </w:rPr>
          <w:t>activities</w:t>
        </w:r>
        <w:r>
          <w:rPr>
            <w:b/>
            <w:i/>
            <w:color w:val="585858"/>
            <w:sz w:val="24"/>
            <w:u w:val="thick" w:color="575757"/>
          </w:rPr>
          <w:t> </w:t>
          <w:tab/>
        </w:r>
        <w:r>
          <w:rPr>
            <w:b/>
            <w:i/>
            <w:color w:val="585858"/>
            <w:sz w:val="24"/>
          </w:rPr>
          <w:t>4</w:t>
        </w:r>
      </w:hyperlink>
    </w:p>
    <w:p>
      <w:pPr>
        <w:pStyle w:val="ListParagraph"/>
        <w:numPr>
          <w:ilvl w:val="0"/>
          <w:numId w:val="1"/>
        </w:numPr>
        <w:tabs>
          <w:tab w:pos="700" w:val="left" w:leader="none"/>
          <w:tab w:pos="9927" w:val="left" w:leader="none"/>
        </w:tabs>
        <w:spacing w:line="240" w:lineRule="auto" w:before="120" w:after="0"/>
        <w:ind w:left="699" w:right="0" w:hanging="566"/>
        <w:jc w:val="both"/>
        <w:rPr>
          <w:b/>
          <w:i/>
          <w:sz w:val="24"/>
        </w:rPr>
      </w:pPr>
      <w:hyperlink w:history="true" w:anchor="_bookmark3">
        <w:r>
          <w:rPr>
            <w:b/>
            <w:i/>
            <w:color w:val="585858"/>
            <w:sz w:val="24"/>
          </w:rPr>
          <w:t>One Coordination Secretariat and</w:t>
        </w:r>
        <w:r>
          <w:rPr>
            <w:b/>
            <w:i/>
            <w:color w:val="585858"/>
            <w:spacing w:val="-4"/>
            <w:sz w:val="24"/>
          </w:rPr>
          <w:t> </w:t>
        </w:r>
        <w:r>
          <w:rPr>
            <w:b/>
            <w:i/>
            <w:color w:val="585858"/>
            <w:sz w:val="24"/>
          </w:rPr>
          <w:t>Call</w:t>
        </w:r>
        <w:r>
          <w:rPr>
            <w:b/>
            <w:i/>
            <w:color w:val="585858"/>
            <w:spacing w:val="-1"/>
            <w:sz w:val="24"/>
          </w:rPr>
          <w:t> </w:t>
        </w:r>
        <w:r>
          <w:rPr>
            <w:b/>
            <w:i/>
            <w:color w:val="585858"/>
            <w:sz w:val="24"/>
          </w:rPr>
          <w:t>Secretariats</w:t>
        </w:r>
        <w:r>
          <w:rPr>
            <w:b/>
            <w:i/>
            <w:color w:val="585858"/>
            <w:sz w:val="24"/>
            <w:u w:val="thick" w:color="575757"/>
          </w:rPr>
          <w:t> </w:t>
          <w:tab/>
        </w:r>
        <w:r>
          <w:rPr>
            <w:b/>
            <w:i/>
            <w:color w:val="585858"/>
            <w:sz w:val="24"/>
          </w:rPr>
          <w:t>5</w:t>
        </w:r>
      </w:hyperlink>
    </w:p>
    <w:p>
      <w:pPr>
        <w:pStyle w:val="ListParagraph"/>
        <w:numPr>
          <w:ilvl w:val="0"/>
          <w:numId w:val="1"/>
        </w:numPr>
        <w:tabs>
          <w:tab w:pos="700" w:val="left" w:leader="none"/>
          <w:tab w:pos="9927" w:val="left" w:leader="none"/>
        </w:tabs>
        <w:spacing w:line="240" w:lineRule="auto" w:before="121" w:after="0"/>
        <w:ind w:left="699" w:right="0" w:hanging="566"/>
        <w:jc w:val="both"/>
        <w:rPr>
          <w:b/>
          <w:i/>
          <w:sz w:val="24"/>
        </w:rPr>
      </w:pPr>
      <w:hyperlink w:history="true" w:anchor="_bookmark4">
        <w:r>
          <w:rPr>
            <w:b/>
            <w:i/>
            <w:color w:val="585858"/>
            <w:sz w:val="24"/>
          </w:rPr>
          <w:t>Contributor’s Influence on</w:t>
        </w:r>
        <w:r>
          <w:rPr>
            <w:b/>
            <w:i/>
            <w:color w:val="585858"/>
            <w:spacing w:val="-13"/>
            <w:sz w:val="24"/>
          </w:rPr>
          <w:t> </w:t>
        </w:r>
        <w:r>
          <w:rPr>
            <w:b/>
            <w:i/>
            <w:color w:val="585858"/>
            <w:sz w:val="24"/>
          </w:rPr>
          <w:t>Research</w:t>
        </w:r>
        <w:r>
          <w:rPr>
            <w:b/>
            <w:i/>
            <w:color w:val="585858"/>
            <w:spacing w:val="-1"/>
            <w:sz w:val="24"/>
          </w:rPr>
          <w:t> </w:t>
        </w:r>
        <w:r>
          <w:rPr>
            <w:b/>
            <w:i/>
            <w:color w:val="585858"/>
            <w:spacing w:val="2"/>
            <w:sz w:val="24"/>
          </w:rPr>
          <w:t>Impact</w:t>
        </w:r>
        <w:r>
          <w:rPr>
            <w:b/>
            <w:i/>
            <w:color w:val="585858"/>
            <w:spacing w:val="2"/>
            <w:sz w:val="24"/>
            <w:u w:val="thick" w:color="575757"/>
          </w:rPr>
          <w:t> </w:t>
          <w:tab/>
        </w:r>
        <w:r>
          <w:rPr>
            <w:b/>
            <w:i/>
            <w:color w:val="585858"/>
            <w:sz w:val="24"/>
          </w:rPr>
          <w:t>6</w:t>
        </w:r>
      </w:hyperlink>
    </w:p>
    <w:p>
      <w:pPr>
        <w:pStyle w:val="ListParagraph"/>
        <w:numPr>
          <w:ilvl w:val="0"/>
          <w:numId w:val="1"/>
        </w:numPr>
        <w:tabs>
          <w:tab w:pos="700" w:val="left" w:leader="none"/>
          <w:tab w:pos="9927" w:val="left" w:leader="none"/>
        </w:tabs>
        <w:spacing w:line="240" w:lineRule="auto" w:before="120" w:after="0"/>
        <w:ind w:left="699" w:right="0" w:hanging="566"/>
        <w:jc w:val="both"/>
        <w:rPr>
          <w:b/>
          <w:i/>
          <w:sz w:val="24"/>
        </w:rPr>
      </w:pPr>
      <w:hyperlink w:history="true" w:anchor="_bookmark5">
        <w:r>
          <w:rPr>
            <w:b/>
            <w:i/>
            <w:color w:val="585858"/>
            <w:sz w:val="24"/>
          </w:rPr>
          <w:t>The Three Pillars Model and the Consortium Agreement for</w:t>
        </w:r>
        <w:r>
          <w:rPr>
            <w:b/>
            <w:i/>
            <w:color w:val="585858"/>
            <w:spacing w:val="-33"/>
            <w:sz w:val="24"/>
          </w:rPr>
          <w:t> </w:t>
        </w:r>
        <w:r>
          <w:rPr>
            <w:b/>
            <w:i/>
            <w:color w:val="585858"/>
            <w:sz w:val="24"/>
          </w:rPr>
          <w:t>Budget</w:t>
        </w:r>
        <w:r>
          <w:rPr>
            <w:b/>
            <w:i/>
            <w:color w:val="585858"/>
            <w:spacing w:val="-4"/>
            <w:sz w:val="24"/>
          </w:rPr>
          <w:t> </w:t>
        </w:r>
        <w:r>
          <w:rPr>
            <w:b/>
            <w:i/>
            <w:color w:val="585858"/>
            <w:sz w:val="24"/>
          </w:rPr>
          <w:t>Allocation</w:t>
        </w:r>
        <w:r>
          <w:rPr>
            <w:b/>
            <w:i/>
            <w:color w:val="585858"/>
            <w:sz w:val="24"/>
            <w:u w:val="thick" w:color="575757"/>
          </w:rPr>
          <w:t> </w:t>
          <w:tab/>
        </w:r>
        <w:r>
          <w:rPr>
            <w:b/>
            <w:i/>
            <w:color w:val="585858"/>
            <w:sz w:val="24"/>
          </w:rPr>
          <w:t>7</w:t>
        </w:r>
      </w:hyperlink>
    </w:p>
    <w:p>
      <w:pPr>
        <w:pStyle w:val="ListParagraph"/>
        <w:numPr>
          <w:ilvl w:val="0"/>
          <w:numId w:val="1"/>
        </w:numPr>
        <w:tabs>
          <w:tab w:pos="700" w:val="left" w:leader="none"/>
          <w:tab w:pos="9807" w:val="left" w:leader="none"/>
        </w:tabs>
        <w:spacing w:line="240" w:lineRule="auto" w:before="119" w:after="0"/>
        <w:ind w:left="699" w:right="0" w:hanging="566"/>
        <w:jc w:val="both"/>
        <w:rPr>
          <w:b/>
          <w:i/>
          <w:sz w:val="24"/>
        </w:rPr>
      </w:pPr>
      <w:hyperlink w:history="true" w:anchor="_bookmark6">
        <w:r>
          <w:rPr>
            <w:b/>
            <w:i/>
            <w:color w:val="585858"/>
            <w:sz w:val="24"/>
          </w:rPr>
          <w:t>Eligibility Criteria and Funding and</w:t>
        </w:r>
        <w:r>
          <w:rPr>
            <w:b/>
            <w:i/>
            <w:color w:val="585858"/>
            <w:spacing w:val="-15"/>
            <w:sz w:val="24"/>
          </w:rPr>
          <w:t> </w:t>
        </w:r>
        <w:r>
          <w:rPr>
            <w:b/>
            <w:i/>
            <w:color w:val="585858"/>
            <w:sz w:val="24"/>
          </w:rPr>
          <w:t>Contribution</w:t>
        </w:r>
        <w:r>
          <w:rPr>
            <w:b/>
            <w:i/>
            <w:color w:val="585858"/>
            <w:spacing w:val="-4"/>
            <w:sz w:val="24"/>
          </w:rPr>
          <w:t> </w:t>
        </w:r>
        <w:r>
          <w:rPr>
            <w:b/>
            <w:i/>
            <w:color w:val="585858"/>
            <w:sz w:val="24"/>
          </w:rPr>
          <w:t>Regulations</w:t>
        </w:r>
        <w:r>
          <w:rPr>
            <w:b/>
            <w:i/>
            <w:color w:val="585858"/>
            <w:sz w:val="24"/>
            <w:u w:val="thick" w:color="575757"/>
          </w:rPr>
          <w:t> </w:t>
          <w:tab/>
        </w:r>
        <w:r>
          <w:rPr>
            <w:b/>
            <w:i/>
            <w:color w:val="585858"/>
            <w:sz w:val="24"/>
          </w:rPr>
          <w:t>10</w:t>
        </w:r>
      </w:hyperlink>
    </w:p>
    <w:p>
      <w:pPr>
        <w:pStyle w:val="ListParagraph"/>
        <w:numPr>
          <w:ilvl w:val="0"/>
          <w:numId w:val="1"/>
        </w:numPr>
        <w:tabs>
          <w:tab w:pos="700" w:val="left" w:leader="none"/>
          <w:tab w:pos="9807" w:val="left" w:leader="none"/>
        </w:tabs>
        <w:spacing w:line="343" w:lineRule="auto" w:before="120" w:after="0"/>
        <w:ind w:left="560" w:right="277" w:hanging="427"/>
        <w:jc w:val="both"/>
        <w:rPr>
          <w:b/>
          <w:sz w:val="22"/>
        </w:rPr>
      </w:pPr>
      <w:r>
        <w:rPr/>
        <w:tab/>
      </w:r>
      <w:hyperlink w:history="true" w:anchor="_bookmark7">
        <w:r>
          <w:rPr>
            <w:b/>
            <w:i/>
            <w:color w:val="585858"/>
            <w:sz w:val="24"/>
          </w:rPr>
          <w:t>Distribution of Funds for Open Calls for Research Proposals and</w:t>
        </w:r>
        <w:r>
          <w:rPr>
            <w:b/>
            <w:i/>
            <w:color w:val="585858"/>
            <w:spacing w:val="-34"/>
            <w:sz w:val="24"/>
          </w:rPr>
          <w:t> </w:t>
        </w:r>
        <w:r>
          <w:rPr>
            <w:b/>
            <w:i/>
            <w:color w:val="585858"/>
            <w:sz w:val="24"/>
          </w:rPr>
          <w:t>other</w:t>
        </w:r>
        <w:r>
          <w:rPr>
            <w:b/>
            <w:i/>
            <w:color w:val="585858"/>
            <w:spacing w:val="-4"/>
            <w:sz w:val="24"/>
          </w:rPr>
          <w:t> </w:t>
        </w:r>
        <w:r>
          <w:rPr>
            <w:b/>
            <w:i/>
            <w:color w:val="585858"/>
            <w:sz w:val="24"/>
          </w:rPr>
          <w:t>Activities</w:t>
        </w:r>
        <w:r>
          <w:rPr>
            <w:b/>
            <w:i/>
            <w:color w:val="585858"/>
            <w:sz w:val="24"/>
            <w:u w:val="thick" w:color="575757"/>
          </w:rPr>
          <w:t> </w:t>
          <w:tab/>
        </w:r>
        <w:r>
          <w:rPr>
            <w:b/>
            <w:i/>
            <w:color w:val="585858"/>
            <w:spacing w:val="-9"/>
            <w:sz w:val="24"/>
          </w:rPr>
          <w:t>10</w:t>
        </w:r>
      </w:hyperlink>
      <w:hyperlink w:history="true" w:anchor="_bookmark8">
        <w:r>
          <w:rPr>
            <w:b/>
            <w:i/>
            <w:color w:val="585858"/>
            <w:spacing w:val="-9"/>
            <w:sz w:val="24"/>
          </w:rPr>
          <w:t> </w:t>
        </w:r>
        <w:r>
          <w:rPr>
            <w:b/>
            <w:color w:val="585858"/>
            <w:sz w:val="22"/>
          </w:rPr>
          <w:t>Funding Pots - Experience from the ERA</w:t>
        </w:r>
        <w:r>
          <w:rPr>
            <w:b/>
            <w:color w:val="585858"/>
            <w:spacing w:val="-15"/>
            <w:sz w:val="22"/>
          </w:rPr>
          <w:t> </w:t>
        </w:r>
        <w:r>
          <w:rPr>
            <w:b/>
            <w:color w:val="585858"/>
            <w:sz w:val="22"/>
          </w:rPr>
          <w:t>Learn</w:t>
        </w:r>
        <w:r>
          <w:rPr>
            <w:b/>
            <w:color w:val="585858"/>
            <w:spacing w:val="-2"/>
            <w:sz w:val="22"/>
          </w:rPr>
          <w:t> </w:t>
        </w:r>
        <w:r>
          <w:rPr>
            <w:b/>
            <w:color w:val="585858"/>
            <w:sz w:val="22"/>
          </w:rPr>
          <w:t>Platform</w:t>
        </w:r>
        <w:r>
          <w:rPr>
            <w:b/>
            <w:color w:val="585858"/>
            <w:sz w:val="22"/>
            <w:u w:val="thick" w:color="575757"/>
          </w:rPr>
          <w:t> </w:t>
          <w:tab/>
        </w:r>
        <w:r>
          <w:rPr>
            <w:b/>
            <w:color w:val="585858"/>
            <w:spacing w:val="-8"/>
            <w:sz w:val="22"/>
          </w:rPr>
          <w:t>11</w:t>
        </w:r>
      </w:hyperlink>
      <w:hyperlink w:history="true" w:anchor="_bookmark9">
        <w:r>
          <w:rPr>
            <w:b/>
            <w:color w:val="585858"/>
            <w:spacing w:val="-8"/>
            <w:sz w:val="22"/>
          </w:rPr>
          <w:t> </w:t>
        </w:r>
        <w:r>
          <w:rPr>
            <w:b/>
            <w:color w:val="585858"/>
            <w:sz w:val="22"/>
          </w:rPr>
          <w:t>Pillar II - Selected Co-funded Research</w:t>
        </w:r>
        <w:r>
          <w:rPr>
            <w:b/>
            <w:color w:val="585858"/>
            <w:spacing w:val="-13"/>
            <w:sz w:val="22"/>
          </w:rPr>
          <w:t> </w:t>
        </w:r>
        <w:r>
          <w:rPr>
            <w:b/>
            <w:color w:val="585858"/>
            <w:sz w:val="22"/>
          </w:rPr>
          <w:t>at</w:t>
        </w:r>
        <w:r>
          <w:rPr>
            <w:b/>
            <w:color w:val="585858"/>
            <w:spacing w:val="-4"/>
            <w:sz w:val="22"/>
          </w:rPr>
          <w:t> </w:t>
        </w:r>
        <w:r>
          <w:rPr>
            <w:b/>
            <w:color w:val="585858"/>
            <w:sz w:val="22"/>
          </w:rPr>
          <w:t>50%</w:t>
        </w:r>
        <w:r>
          <w:rPr>
            <w:b/>
            <w:color w:val="585858"/>
            <w:sz w:val="22"/>
            <w:u w:val="thick" w:color="575757"/>
          </w:rPr>
          <w:t> </w:t>
          <w:tab/>
        </w:r>
        <w:r>
          <w:rPr>
            <w:b/>
            <w:color w:val="585858"/>
            <w:spacing w:val="-8"/>
            <w:sz w:val="22"/>
          </w:rPr>
          <w:t>11</w:t>
        </w:r>
      </w:hyperlink>
      <w:hyperlink w:history="true" w:anchor="_bookmark10">
        <w:r>
          <w:rPr>
            <w:b/>
            <w:color w:val="585858"/>
            <w:spacing w:val="-8"/>
            <w:sz w:val="22"/>
          </w:rPr>
          <w:t> </w:t>
        </w:r>
        <w:r>
          <w:rPr>
            <w:b/>
            <w:color w:val="585858"/>
            <w:sz w:val="22"/>
          </w:rPr>
          <w:t>Venture capital for R&amp;I could</w:t>
        </w:r>
        <w:r>
          <w:rPr>
            <w:b/>
            <w:color w:val="585858"/>
            <w:spacing w:val="-9"/>
            <w:sz w:val="22"/>
          </w:rPr>
          <w:t> </w:t>
        </w:r>
        <w:r>
          <w:rPr>
            <w:b/>
            <w:color w:val="585858"/>
            <w:sz w:val="22"/>
          </w:rPr>
          <w:t>rise</w:t>
        </w:r>
        <w:r>
          <w:rPr>
            <w:b/>
            <w:color w:val="585858"/>
            <w:spacing w:val="-3"/>
            <w:sz w:val="22"/>
          </w:rPr>
          <w:t> </w:t>
        </w:r>
        <w:r>
          <w:rPr>
            <w:b/>
            <w:color w:val="585858"/>
            <w:sz w:val="22"/>
          </w:rPr>
          <w:t>interest</w:t>
        </w:r>
        <w:r>
          <w:rPr>
            <w:b/>
            <w:color w:val="585858"/>
            <w:sz w:val="22"/>
            <w:u w:val="thick" w:color="575757"/>
          </w:rPr>
          <w:t> </w:t>
          <w:tab/>
        </w:r>
        <w:r>
          <w:rPr>
            <w:b/>
            <w:color w:val="585858"/>
            <w:spacing w:val="-8"/>
            <w:sz w:val="22"/>
          </w:rPr>
          <w:t>12</w:t>
        </w:r>
      </w:hyperlink>
    </w:p>
    <w:p>
      <w:pPr>
        <w:pStyle w:val="Heading4"/>
        <w:numPr>
          <w:ilvl w:val="0"/>
          <w:numId w:val="1"/>
        </w:numPr>
        <w:tabs>
          <w:tab w:pos="700" w:val="left" w:leader="none"/>
          <w:tab w:pos="9807" w:val="left" w:leader="none"/>
        </w:tabs>
        <w:spacing w:line="240" w:lineRule="auto" w:before="8" w:after="0"/>
        <w:ind w:left="699" w:right="0" w:hanging="566"/>
        <w:jc w:val="both"/>
        <w:rPr>
          <w:i/>
        </w:rPr>
      </w:pPr>
      <w:hyperlink w:history="true" w:anchor="_bookmark11">
        <w:r>
          <w:rPr>
            <w:i/>
            <w:color w:val="585858"/>
          </w:rPr>
          <w:t>Stakeholders Involvement – the Quadruple</w:t>
        </w:r>
        <w:r>
          <w:rPr>
            <w:i/>
            <w:color w:val="585858"/>
            <w:spacing w:val="-14"/>
          </w:rPr>
          <w:t> </w:t>
        </w:r>
        <w:r>
          <w:rPr>
            <w:i/>
            <w:color w:val="585858"/>
          </w:rPr>
          <w:t>Helix</w:t>
        </w:r>
        <w:r>
          <w:rPr>
            <w:i/>
            <w:color w:val="585858"/>
            <w:spacing w:val="-5"/>
          </w:rPr>
          <w:t> </w:t>
        </w:r>
        <w:r>
          <w:rPr>
            <w:i/>
            <w:color w:val="585858"/>
          </w:rPr>
          <w:t>Approach</w:t>
        </w:r>
        <w:r>
          <w:rPr>
            <w:i/>
            <w:color w:val="585858"/>
            <w:u w:val="thick" w:color="575757"/>
          </w:rPr>
          <w:t> </w:t>
          <w:tab/>
        </w:r>
        <w:r>
          <w:rPr>
            <w:i/>
            <w:color w:val="585858"/>
          </w:rPr>
          <w:t>12</w:t>
        </w:r>
      </w:hyperlink>
    </w:p>
    <w:p>
      <w:pPr>
        <w:pStyle w:val="ListParagraph"/>
        <w:numPr>
          <w:ilvl w:val="0"/>
          <w:numId w:val="1"/>
        </w:numPr>
        <w:tabs>
          <w:tab w:pos="700" w:val="left" w:leader="none"/>
          <w:tab w:pos="9807" w:val="left" w:leader="none"/>
        </w:tabs>
        <w:spacing w:line="240" w:lineRule="auto" w:before="121" w:after="0"/>
        <w:ind w:left="699" w:right="0" w:hanging="566"/>
        <w:jc w:val="both"/>
        <w:rPr>
          <w:b/>
          <w:i/>
          <w:sz w:val="24"/>
        </w:rPr>
      </w:pPr>
      <w:hyperlink w:history="true" w:anchor="_bookmark12">
        <w:r>
          <w:rPr>
            <w:b/>
            <w:i/>
            <w:color w:val="585858"/>
            <w:sz w:val="24"/>
          </w:rPr>
          <w:t>Open Philosophy and Intellectual</w:t>
        </w:r>
        <w:r>
          <w:rPr>
            <w:b/>
            <w:i/>
            <w:color w:val="585858"/>
            <w:spacing w:val="-16"/>
            <w:sz w:val="24"/>
          </w:rPr>
          <w:t> </w:t>
        </w:r>
        <w:r>
          <w:rPr>
            <w:b/>
            <w:i/>
            <w:color w:val="585858"/>
            <w:sz w:val="24"/>
          </w:rPr>
          <w:t>Property</w:t>
        </w:r>
        <w:r>
          <w:rPr>
            <w:b/>
            <w:i/>
            <w:color w:val="585858"/>
            <w:spacing w:val="-2"/>
            <w:sz w:val="24"/>
          </w:rPr>
          <w:t> </w:t>
        </w:r>
        <w:r>
          <w:rPr>
            <w:b/>
            <w:i/>
            <w:color w:val="585858"/>
            <w:sz w:val="24"/>
          </w:rPr>
          <w:t>Rights</w:t>
        </w:r>
        <w:r>
          <w:rPr>
            <w:b/>
            <w:i/>
            <w:color w:val="585858"/>
            <w:sz w:val="24"/>
            <w:u w:val="thick" w:color="575757"/>
          </w:rPr>
          <w:t> </w:t>
          <w:tab/>
        </w:r>
        <w:r>
          <w:rPr>
            <w:b/>
            <w:i/>
            <w:color w:val="585858"/>
            <w:sz w:val="24"/>
          </w:rPr>
          <w:t>14</w:t>
        </w:r>
      </w:hyperlink>
    </w:p>
    <w:p>
      <w:pPr>
        <w:pStyle w:val="ListParagraph"/>
        <w:numPr>
          <w:ilvl w:val="0"/>
          <w:numId w:val="1"/>
        </w:numPr>
        <w:tabs>
          <w:tab w:pos="700" w:val="left" w:leader="none"/>
          <w:tab w:pos="9807" w:val="left" w:leader="none"/>
        </w:tabs>
        <w:spacing w:line="240" w:lineRule="auto" w:before="119" w:after="0"/>
        <w:ind w:left="699" w:right="0" w:hanging="566"/>
        <w:jc w:val="both"/>
        <w:rPr>
          <w:b/>
          <w:i/>
          <w:sz w:val="24"/>
        </w:rPr>
      </w:pPr>
      <w:hyperlink w:history="true" w:anchor="_bookmark13">
        <w:r>
          <w:rPr>
            <w:b/>
            <w:i/>
            <w:color w:val="585858"/>
            <w:sz w:val="24"/>
          </w:rPr>
          <w:t>Associated</w:t>
        </w:r>
        <w:r>
          <w:rPr>
            <w:b/>
            <w:i/>
            <w:color w:val="585858"/>
            <w:spacing w:val="-4"/>
            <w:sz w:val="24"/>
          </w:rPr>
          <w:t> </w:t>
        </w:r>
        <w:r>
          <w:rPr>
            <w:b/>
            <w:i/>
            <w:color w:val="585858"/>
            <w:sz w:val="24"/>
          </w:rPr>
          <w:t>Partners</w:t>
        </w:r>
        <w:r>
          <w:rPr>
            <w:b/>
            <w:i/>
            <w:color w:val="585858"/>
            <w:sz w:val="24"/>
            <w:u w:val="thick" w:color="575757"/>
          </w:rPr>
          <w:t> </w:t>
          <w:tab/>
        </w:r>
        <w:r>
          <w:rPr>
            <w:b/>
            <w:i/>
            <w:color w:val="585858"/>
            <w:sz w:val="24"/>
          </w:rPr>
          <w:t>14</w:t>
        </w:r>
      </w:hyperlink>
    </w:p>
    <w:p>
      <w:pPr>
        <w:pStyle w:val="ListParagraph"/>
        <w:numPr>
          <w:ilvl w:val="0"/>
          <w:numId w:val="1"/>
        </w:numPr>
        <w:tabs>
          <w:tab w:pos="700" w:val="left" w:leader="none"/>
          <w:tab w:pos="9807" w:val="left" w:leader="none"/>
        </w:tabs>
        <w:spacing w:line="240" w:lineRule="auto" w:before="120" w:after="0"/>
        <w:ind w:left="699" w:right="0" w:hanging="566"/>
        <w:jc w:val="both"/>
        <w:rPr>
          <w:b/>
          <w:i/>
          <w:sz w:val="24"/>
        </w:rPr>
      </w:pPr>
      <w:hyperlink w:history="true" w:anchor="_bookmark14">
        <w:r>
          <w:rPr>
            <w:b/>
            <w:i/>
            <w:color w:val="585858"/>
            <w:sz w:val="24"/>
          </w:rPr>
          <w:t>Glossary</w:t>
        </w:r>
        <w:r>
          <w:rPr>
            <w:b/>
            <w:i/>
            <w:color w:val="585858"/>
            <w:sz w:val="24"/>
            <w:u w:val="thick" w:color="575757"/>
          </w:rPr>
          <w:t> </w:t>
          <w:tab/>
        </w:r>
        <w:r>
          <w:rPr>
            <w:b/>
            <w:i/>
            <w:color w:val="585858"/>
            <w:sz w:val="24"/>
          </w:rPr>
          <w:t>16</w:t>
        </w:r>
      </w:hyperlink>
    </w:p>
    <w:p>
      <w:pPr>
        <w:pStyle w:val="BodyText"/>
        <w:rPr>
          <w:b/>
          <w:i/>
          <w:sz w:val="24"/>
        </w:rPr>
      </w:pPr>
    </w:p>
    <w:p>
      <w:pPr>
        <w:pStyle w:val="BodyText"/>
        <w:rPr>
          <w:b/>
          <w:i/>
          <w:sz w:val="24"/>
        </w:rPr>
      </w:pPr>
    </w:p>
    <w:p>
      <w:pPr>
        <w:pStyle w:val="BodyText"/>
        <w:spacing w:before="10"/>
        <w:rPr>
          <w:b/>
          <w:i/>
          <w:sz w:val="19"/>
        </w:rPr>
      </w:pPr>
    </w:p>
    <w:p>
      <w:pPr>
        <w:pStyle w:val="Heading5"/>
        <w:ind w:left="133"/>
        <w:jc w:val="both"/>
      </w:pPr>
      <w:r>
        <w:rPr>
          <w:color w:val="585858"/>
        </w:rPr>
        <w:t>Summary</w:t>
      </w:r>
    </w:p>
    <w:p>
      <w:pPr>
        <w:pStyle w:val="BodyText"/>
        <w:spacing w:line="259" w:lineRule="auto" w:before="120"/>
        <w:ind w:left="133" w:right="267"/>
        <w:jc w:val="both"/>
      </w:pPr>
      <w:r>
        <w:rPr>
          <w:color w:val="585858"/>
        </w:rPr>
        <w:t>In this background paper (BP), several aspects of funding in the joint programme LEAP-RE are addressed. It describes the role of the contributors’ network, different options for research activities in the frame of LEAP- RE, the potential roles of a Coordination Secretariat (CoSe) and a Call Secretariat (CS), the contributors’ influence on research impact, the role and options of a consortium agreement, the distribution of funds in calls for research proposals and recommendations and discussion points for the development of LEAP-RE regarding the funding and budget allocation to be discussed and developed during the PRE-LEAP-RE workshops and round tables. Furthermore the private sector involvement will be addressed as well as Intellectual Property Rights (IRP) and Open Philosophy for managing and communicating</w:t>
      </w:r>
      <w:r>
        <w:rPr>
          <w:color w:val="585858"/>
          <w:spacing w:val="-5"/>
        </w:rPr>
        <w:t> </w:t>
      </w:r>
      <w:r>
        <w:rPr>
          <w:color w:val="585858"/>
        </w:rPr>
        <w:t>knowledge.</w:t>
      </w:r>
    </w:p>
    <w:p>
      <w:pPr>
        <w:spacing w:after="0" w:line="259" w:lineRule="auto"/>
        <w:jc w:val="both"/>
        <w:sectPr>
          <w:footerReference w:type="default" r:id="rId17"/>
          <w:pgSz w:w="11920" w:h="16850"/>
          <w:pgMar w:footer="1162" w:header="0" w:top="1600" w:bottom="1360" w:left="1000" w:right="580"/>
          <w:pgNumType w:start="2"/>
        </w:sectPr>
      </w:pPr>
    </w:p>
    <w:p>
      <w:pPr>
        <w:pStyle w:val="Heading1"/>
        <w:numPr>
          <w:ilvl w:val="1"/>
          <w:numId w:val="1"/>
        </w:numPr>
        <w:tabs>
          <w:tab w:pos="985" w:val="left" w:leader="none"/>
          <w:tab w:pos="986" w:val="left" w:leader="none"/>
        </w:tabs>
        <w:spacing w:line="240" w:lineRule="auto" w:before="30" w:after="0"/>
        <w:ind w:left="985" w:right="0" w:hanging="495"/>
        <w:jc w:val="left"/>
      </w:pPr>
      <w:bookmarkStart w:name="_bookmark0" w:id="2"/>
      <w:bookmarkEnd w:id="2"/>
      <w:r>
        <w:rPr>
          <w:b w:val="0"/>
        </w:rPr>
      </w:r>
      <w:bookmarkStart w:name="_bookmark0" w:id="3"/>
      <w:bookmarkEnd w:id="3"/>
      <w:r>
        <w:rPr>
          <w:color w:val="585858"/>
        </w:rPr>
        <w:t>Introd</w:t>
      </w:r>
      <w:r>
        <w:rPr>
          <w:color w:val="585858"/>
        </w:rPr>
        <w:t>uction</w:t>
      </w:r>
    </w:p>
    <w:p>
      <w:pPr>
        <w:pStyle w:val="BodyText"/>
        <w:spacing w:before="241"/>
        <w:ind w:left="853" w:right="5793"/>
      </w:pPr>
      <w:r>
        <w:rPr/>
        <w:pict>
          <v:shape style="position:absolute;margin-left:287.549988pt;margin-top:20.093618pt;width:272.4pt;height:185pt;mso-position-horizontal-relative:page;mso-position-vertical-relative:paragraph;z-index:1192" type="#_x0000_t202" filled="false" stroked="true" strokeweight="2pt" strokecolor="#00991d">
            <v:textbox inset="0,0,0,0">
              <w:txbxContent>
                <w:p>
                  <w:pPr>
                    <w:spacing w:before="71"/>
                    <w:ind w:left="1375" w:right="0" w:firstLine="0"/>
                    <w:jc w:val="left"/>
                    <w:rPr>
                      <w:b/>
                      <w:sz w:val="22"/>
                    </w:rPr>
                  </w:pPr>
                  <w:r>
                    <w:rPr>
                      <w:b/>
                      <w:color w:val="585858"/>
                      <w:sz w:val="22"/>
                    </w:rPr>
                    <w:t>LEAP-RE </w:t>
                  </w:r>
                  <w:r>
                    <w:rPr>
                      <w:b/>
                      <w:color w:val="585858"/>
                      <w:sz w:val="18"/>
                    </w:rPr>
                    <w:t>WILL BE A NETWORK OF</w:t>
                  </w:r>
                  <w:r>
                    <w:rPr>
                      <w:b/>
                      <w:color w:val="585858"/>
                      <w:sz w:val="22"/>
                    </w:rPr>
                    <w:t>:</w:t>
                  </w:r>
                </w:p>
                <w:p>
                  <w:pPr>
                    <w:pStyle w:val="BodyText"/>
                    <w:numPr>
                      <w:ilvl w:val="0"/>
                      <w:numId w:val="2"/>
                    </w:numPr>
                    <w:tabs>
                      <w:tab w:pos="507" w:val="left" w:leader="none"/>
                    </w:tabs>
                    <w:spacing w:line="240" w:lineRule="auto" w:before="120" w:after="0"/>
                    <w:ind w:left="506" w:right="325" w:hanging="360"/>
                    <w:jc w:val="left"/>
                  </w:pPr>
                  <w:r>
                    <w:rPr>
                      <w:color w:val="585858"/>
                    </w:rPr>
                    <w:t>Funding Institutions providing the financial support to execute dedicated</w:t>
                  </w:r>
                  <w:r>
                    <w:rPr>
                      <w:color w:val="585858"/>
                      <w:spacing w:val="-5"/>
                    </w:rPr>
                    <w:t> </w:t>
                  </w:r>
                  <w:r>
                    <w:rPr>
                      <w:color w:val="585858"/>
                    </w:rPr>
                    <w:t>actions</w:t>
                  </w:r>
                </w:p>
                <w:p>
                  <w:pPr>
                    <w:pStyle w:val="BodyText"/>
                    <w:numPr>
                      <w:ilvl w:val="0"/>
                      <w:numId w:val="2"/>
                    </w:numPr>
                    <w:tabs>
                      <w:tab w:pos="507" w:val="left" w:leader="none"/>
                    </w:tabs>
                    <w:spacing w:line="240" w:lineRule="auto" w:before="121" w:after="0"/>
                    <w:ind w:left="506" w:right="388" w:hanging="360"/>
                    <w:jc w:val="left"/>
                  </w:pPr>
                  <w:r>
                    <w:rPr>
                      <w:color w:val="585858"/>
                    </w:rPr>
                    <w:t>Research Performing organisations contributing to the activities and to the sharing of the eligible</w:t>
                  </w:r>
                  <w:r>
                    <w:rPr>
                      <w:color w:val="585858"/>
                      <w:spacing w:val="-10"/>
                    </w:rPr>
                    <w:t> </w:t>
                  </w:r>
                  <w:r>
                    <w:rPr>
                      <w:color w:val="585858"/>
                    </w:rPr>
                    <w:t>cost</w:t>
                  </w:r>
                </w:p>
                <w:p>
                  <w:pPr>
                    <w:pStyle w:val="BodyText"/>
                    <w:numPr>
                      <w:ilvl w:val="0"/>
                      <w:numId w:val="2"/>
                    </w:numPr>
                    <w:tabs>
                      <w:tab w:pos="507" w:val="left" w:leader="none"/>
                    </w:tabs>
                    <w:spacing w:line="240" w:lineRule="auto" w:before="120" w:after="0"/>
                    <w:ind w:left="506" w:right="208" w:hanging="360"/>
                    <w:jc w:val="left"/>
                  </w:pPr>
                  <w:r>
                    <w:rPr>
                      <w:color w:val="585858"/>
                    </w:rPr>
                    <w:t>Other actors within the Quadruple Helix approach in the field of RE like private sector or civil society organizations (or foundations and philanthropic organisations) may be engaged with a role that will be defined with dedicated</w:t>
                  </w:r>
                  <w:r>
                    <w:rPr>
                      <w:color w:val="585858"/>
                      <w:spacing w:val="-5"/>
                    </w:rPr>
                    <w:t> </w:t>
                  </w:r>
                  <w:r>
                    <w:rPr>
                      <w:color w:val="585858"/>
                    </w:rPr>
                    <w:t>negotiation</w:t>
                  </w:r>
                </w:p>
              </w:txbxContent>
            </v:textbox>
            <v:stroke dashstyle="solid"/>
            <w10:wrap type="none"/>
          </v:shape>
        </w:pict>
      </w:r>
      <w:r>
        <w:rPr>
          <w:color w:val="585858"/>
        </w:rPr>
        <w:t>This background paper (BP) supplements the series of background papers and addresses funding of activities in the future joint programme LEAP-RE and thereafter. This first draft is based on the experiences of the ERA-Net ERAfrica, the ERAfrica Initiative, the ERA-Net Cofund LEAP-Agri and the EJP Rare Diseases and the discussions of the 1</w:t>
      </w:r>
      <w:r>
        <w:rPr>
          <w:color w:val="585858"/>
          <w:vertAlign w:val="superscript"/>
        </w:rPr>
        <w:t>st</w:t>
      </w:r>
      <w:r>
        <w:rPr>
          <w:color w:val="585858"/>
          <w:vertAlign w:val="baseline"/>
        </w:rPr>
        <w:t> PRE-LEAP-RE strategic workshop in December 2018 in Brussels. Moreover, the draft benefit of the revision of the Horizon 2020 Work Programme by the EU Commission approved in June 2019 which foresee the incoming of a RIA for the forthcoming</w:t>
      </w:r>
    </w:p>
    <w:p>
      <w:pPr>
        <w:pStyle w:val="BodyText"/>
        <w:ind w:left="853" w:right="287"/>
      </w:pPr>
      <w:r>
        <w:rPr>
          <w:color w:val="585858"/>
        </w:rPr>
        <w:t>African- European joint programme on renewable energies which is supposed to follow the current CSA. LEAP-RE, as a joint programme, could adopt some of the preexisting experience and make leverage on the RIA instrument to complement them, suggest changes and add further elements as needed. It is intended to identify a group of funding institutions belonging to different typologies, who may become the core consortium for the future LEAP-RE and develop the design of #2 BP towards the writing of the proposal for LEAP-RE, which will be based on the PRE-LEAP-RE’s BPs system.</w:t>
      </w:r>
    </w:p>
    <w:p>
      <w:pPr>
        <w:pStyle w:val="BodyText"/>
      </w:pPr>
    </w:p>
    <w:p>
      <w:pPr>
        <w:pStyle w:val="BodyText"/>
        <w:spacing w:before="6"/>
        <w:rPr>
          <w:sz w:val="17"/>
        </w:rPr>
      </w:pPr>
    </w:p>
    <w:p>
      <w:pPr>
        <w:pStyle w:val="Heading1"/>
        <w:numPr>
          <w:ilvl w:val="1"/>
          <w:numId w:val="1"/>
        </w:numPr>
        <w:tabs>
          <w:tab w:pos="985" w:val="left" w:leader="none"/>
          <w:tab w:pos="986" w:val="left" w:leader="none"/>
        </w:tabs>
        <w:spacing w:line="240" w:lineRule="auto" w:before="0" w:after="0"/>
        <w:ind w:left="985" w:right="0" w:hanging="495"/>
        <w:jc w:val="left"/>
      </w:pPr>
      <w:bookmarkStart w:name="_bookmark1" w:id="4"/>
      <w:bookmarkEnd w:id="4"/>
      <w:r>
        <w:rPr>
          <w:b w:val="0"/>
        </w:rPr>
      </w:r>
      <w:bookmarkStart w:name="_bookmark1" w:id="5"/>
      <w:bookmarkEnd w:id="5"/>
      <w:r>
        <w:rPr>
          <w:color w:val="585858"/>
        </w:rPr>
        <w:t>Contr</w:t>
      </w:r>
      <w:r>
        <w:rPr>
          <w:color w:val="585858"/>
        </w:rPr>
        <w:t>ibutor’s Networks</w:t>
      </w:r>
    </w:p>
    <w:p>
      <w:pPr>
        <w:pStyle w:val="BodyText"/>
        <w:spacing w:before="239"/>
        <w:ind w:left="853" w:right="506"/>
      </w:pPr>
      <w:r>
        <w:rPr>
          <w:color w:val="585858"/>
        </w:rPr>
        <w:t>LEAP-RE will become both a (future) Horizon 2020-funded project supporting collaboration between Africa and Europe in the field of renewable energies (RE), and also a long-term network of stakeholders</w:t>
      </w:r>
      <w:r>
        <w:rPr>
          <w:color w:val="585858"/>
          <w:vertAlign w:val="superscript"/>
        </w:rPr>
        <w:t>1</w:t>
      </w:r>
      <w:r>
        <w:rPr>
          <w:color w:val="585858"/>
          <w:vertAlign w:val="baseline"/>
        </w:rPr>
        <w:t> all able to achieve the ambitious objective of the programme by contributing to its implementation in different ways and the maintenance of common activities after LEAP-RE.</w:t>
      </w:r>
    </w:p>
    <w:p>
      <w:pPr>
        <w:pStyle w:val="BodyText"/>
        <w:spacing w:before="120"/>
        <w:ind w:left="853"/>
      </w:pPr>
      <w:r>
        <w:rPr>
          <w:color w:val="585858"/>
        </w:rPr>
        <w:t>The Multi-stakeholder group will be made by</w:t>
      </w:r>
    </w:p>
    <w:p>
      <w:pPr>
        <w:pStyle w:val="ListParagraph"/>
        <w:numPr>
          <w:ilvl w:val="2"/>
          <w:numId w:val="1"/>
        </w:numPr>
        <w:tabs>
          <w:tab w:pos="1213" w:val="left" w:leader="none"/>
          <w:tab w:pos="1214" w:val="left" w:leader="none"/>
        </w:tabs>
        <w:spacing w:line="240" w:lineRule="auto" w:before="119" w:after="0"/>
        <w:ind w:left="1213" w:right="305" w:hanging="360"/>
        <w:jc w:val="left"/>
        <w:rPr>
          <w:sz w:val="22"/>
        </w:rPr>
      </w:pPr>
      <w:r>
        <w:rPr>
          <w:b/>
          <w:color w:val="585858"/>
          <w:sz w:val="22"/>
        </w:rPr>
        <w:t>Funding institutions </w:t>
      </w:r>
      <w:r>
        <w:rPr>
          <w:color w:val="585858"/>
          <w:sz w:val="22"/>
        </w:rPr>
        <w:t>that will participate in this bi-regional effort to support research, innovation, and capacity building activities in the field. This network may build on the members and achievements of the ERAfrica network of funders, who have undertaken cooperation in the ERAfrica</w:t>
      </w:r>
      <w:r>
        <w:rPr>
          <w:color w:val="585858"/>
          <w:sz w:val="22"/>
          <w:vertAlign w:val="superscript"/>
        </w:rPr>
        <w:t>2</w:t>
      </w:r>
      <w:r>
        <w:rPr>
          <w:color w:val="585858"/>
          <w:sz w:val="22"/>
          <w:vertAlign w:val="baseline"/>
        </w:rPr>
        <w:t> and LEAP-Agri</w:t>
      </w:r>
      <w:r>
        <w:rPr>
          <w:color w:val="585858"/>
          <w:sz w:val="22"/>
          <w:vertAlign w:val="superscript"/>
        </w:rPr>
        <w:t>3</w:t>
      </w:r>
      <w:r>
        <w:rPr>
          <w:color w:val="585858"/>
          <w:sz w:val="22"/>
          <w:vertAlign w:val="baseline"/>
        </w:rPr>
        <w:t> projects and then attract other funders. The members consist mostly of governmental institutions from different countries from Africa and Europe who are investing in thematic fields of research &amp; innovation (R&amp;I) in general. Ministries responsible for the field of RE but also for education, economy and other thematically related areas to RE could be considered as funders. LEAP-RE will be developed by committed network partners. Funding institutions from the private sector are considered as consortium partners</w:t>
      </w:r>
      <w:r>
        <w:rPr>
          <w:color w:val="585858"/>
          <w:spacing w:val="-14"/>
          <w:sz w:val="22"/>
          <w:vertAlign w:val="baseline"/>
        </w:rPr>
        <w:t> </w:t>
      </w:r>
      <w:r>
        <w:rPr>
          <w:color w:val="585858"/>
          <w:sz w:val="22"/>
          <w:vertAlign w:val="baseline"/>
        </w:rPr>
        <w:t>too.</w:t>
      </w:r>
    </w:p>
    <w:p>
      <w:pPr>
        <w:pStyle w:val="ListParagraph"/>
        <w:numPr>
          <w:ilvl w:val="2"/>
          <w:numId w:val="1"/>
        </w:numPr>
        <w:tabs>
          <w:tab w:pos="1213" w:val="left" w:leader="none"/>
          <w:tab w:pos="1214" w:val="left" w:leader="none"/>
        </w:tabs>
        <w:spacing w:line="240" w:lineRule="auto" w:before="120" w:after="0"/>
        <w:ind w:left="1213" w:right="412" w:hanging="360"/>
        <w:jc w:val="left"/>
        <w:rPr>
          <w:sz w:val="22"/>
        </w:rPr>
      </w:pPr>
      <w:r>
        <w:rPr>
          <w:b/>
          <w:color w:val="585858"/>
          <w:sz w:val="22"/>
        </w:rPr>
        <w:t>Research performing organisations </w:t>
      </w:r>
      <w:r>
        <w:rPr>
          <w:color w:val="585858"/>
          <w:sz w:val="22"/>
        </w:rPr>
        <w:t>that will participate at the programme by sharing their experience and expertise and in carrying directly research and innovation projects and capacity building initiatives. The majority of this institutions may build on the network of EU-AU research institutions already engaged in the pre-existing long term partnership between Africa and Europe on renewable energies (among the many: AEEP, EUEI PDF, High Level Platform for</w:t>
      </w:r>
      <w:r>
        <w:rPr>
          <w:color w:val="585858"/>
          <w:spacing w:val="-29"/>
          <w:sz w:val="22"/>
        </w:rPr>
        <w:t> </w:t>
      </w:r>
      <w:r>
        <w:rPr>
          <w:color w:val="585858"/>
          <w:sz w:val="22"/>
        </w:rPr>
        <w:t>Sustainable</w:t>
      </w:r>
    </w:p>
    <w:p>
      <w:pPr>
        <w:pStyle w:val="BodyText"/>
        <w:rPr>
          <w:sz w:val="20"/>
        </w:rPr>
      </w:pPr>
    </w:p>
    <w:p>
      <w:pPr>
        <w:pStyle w:val="BodyText"/>
        <w:spacing w:before="2"/>
        <w:rPr>
          <w:sz w:val="10"/>
        </w:rPr>
      </w:pPr>
      <w:r>
        <w:rPr/>
        <w:pict>
          <v:line style="position:absolute;mso-position-horizontal-relative:page;mso-position-vertical-relative:paragraph;z-index:-880;mso-wrap-distance-left:0;mso-wrap-distance-right:0" from="56.664001pt,8.579282pt" to="200.684001pt,8.579282pt" stroked="true" strokeweight=".72003pt" strokecolor="#585858">
            <v:stroke dashstyle="solid"/>
            <w10:wrap type="topAndBottom"/>
          </v:line>
        </w:pict>
      </w:r>
    </w:p>
    <w:p>
      <w:pPr>
        <w:pStyle w:val="BodyText"/>
        <w:spacing w:before="6"/>
        <w:rPr>
          <w:sz w:val="9"/>
        </w:rPr>
      </w:pPr>
    </w:p>
    <w:p>
      <w:pPr>
        <w:spacing w:before="73"/>
        <w:ind w:left="133" w:right="0" w:firstLine="0"/>
        <w:jc w:val="left"/>
        <w:rPr>
          <w:sz w:val="20"/>
        </w:rPr>
      </w:pPr>
      <w:r>
        <w:rPr>
          <w:color w:val="585858"/>
          <w:position w:val="7"/>
          <w:sz w:val="13"/>
        </w:rPr>
        <w:t>1 </w:t>
      </w:r>
      <w:r>
        <w:rPr>
          <w:color w:val="585858"/>
          <w:sz w:val="20"/>
        </w:rPr>
        <w:t>See #3 BP ‚Long-Term Perspective‘</w:t>
      </w:r>
    </w:p>
    <w:p>
      <w:pPr>
        <w:spacing w:before="115"/>
        <w:ind w:left="133" w:right="0" w:firstLine="0"/>
        <w:jc w:val="left"/>
        <w:rPr>
          <w:sz w:val="20"/>
        </w:rPr>
      </w:pPr>
      <w:r>
        <w:rPr>
          <w:color w:val="585858"/>
          <w:position w:val="7"/>
          <w:sz w:val="13"/>
        </w:rPr>
        <w:t>2 </w:t>
      </w:r>
      <w:hyperlink r:id="rId18">
        <w:r>
          <w:rPr>
            <w:color w:val="585858"/>
            <w:sz w:val="20"/>
            <w:u w:val="single" w:color="585858"/>
          </w:rPr>
          <w:t>https://www.erafrica.eu/</w:t>
        </w:r>
      </w:hyperlink>
    </w:p>
    <w:p>
      <w:pPr>
        <w:spacing w:before="117"/>
        <w:ind w:left="133" w:right="0" w:firstLine="0"/>
        <w:jc w:val="left"/>
        <w:rPr>
          <w:sz w:val="20"/>
        </w:rPr>
      </w:pPr>
      <w:r>
        <w:rPr>
          <w:color w:val="585858"/>
          <w:position w:val="7"/>
          <w:sz w:val="13"/>
        </w:rPr>
        <w:t>3 </w:t>
      </w:r>
      <w:hyperlink r:id="rId19">
        <w:r>
          <w:rPr>
            <w:color w:val="585858"/>
            <w:sz w:val="20"/>
            <w:u w:val="single" w:color="585858"/>
          </w:rPr>
          <w:t>http://www.leap-agri.com/</w:t>
        </w:r>
      </w:hyperlink>
    </w:p>
    <w:p>
      <w:pPr>
        <w:spacing w:after="0"/>
        <w:jc w:val="left"/>
        <w:rPr>
          <w:sz w:val="20"/>
        </w:rPr>
        <w:sectPr>
          <w:pgSz w:w="11920" w:h="16850"/>
          <w:pgMar w:header="0" w:footer="1162" w:top="960" w:bottom="1360" w:left="1000" w:right="580"/>
        </w:sectPr>
      </w:pPr>
    </w:p>
    <w:p>
      <w:pPr>
        <w:pStyle w:val="BodyText"/>
        <w:spacing w:before="29"/>
        <w:ind w:left="1213" w:right="559"/>
      </w:pPr>
      <w:r>
        <w:rPr>
          <w:color w:val="585858"/>
        </w:rPr>
        <w:t>Energy Investment, an institutions, EU-Africa Long Term Partnership on Sustainable Energy: The Role of Research &amp; Innovation)</w:t>
      </w:r>
    </w:p>
    <w:p>
      <w:pPr>
        <w:pStyle w:val="ListParagraph"/>
        <w:numPr>
          <w:ilvl w:val="2"/>
          <w:numId w:val="1"/>
        </w:numPr>
        <w:tabs>
          <w:tab w:pos="1213" w:val="left" w:leader="none"/>
          <w:tab w:pos="1214" w:val="left" w:leader="none"/>
        </w:tabs>
        <w:spacing w:line="240" w:lineRule="auto" w:before="122" w:after="0"/>
        <w:ind w:left="1213" w:right="373" w:hanging="360"/>
        <w:jc w:val="left"/>
        <w:rPr>
          <w:sz w:val="22"/>
        </w:rPr>
      </w:pPr>
      <w:r>
        <w:rPr>
          <w:b/>
          <w:color w:val="585858"/>
          <w:sz w:val="22"/>
        </w:rPr>
        <w:t>Other institutions belonging to the </w:t>
      </w:r>
      <w:r>
        <w:rPr>
          <w:color w:val="585858"/>
          <w:sz w:val="22"/>
        </w:rPr>
        <w:t>Quadruple Helix approach for promoting innovation. Private sector or civil society organizations (like interest group representation, user and consumer protection organisations, and also foundations and philanthropic organisations) may be engaged as consortium partners contributing to the activities of the programme in particular as funders, or be it as associated partners (to be defined) and third</w:t>
      </w:r>
      <w:r>
        <w:rPr>
          <w:color w:val="585858"/>
          <w:spacing w:val="-9"/>
          <w:sz w:val="22"/>
        </w:rPr>
        <w:t> </w:t>
      </w:r>
      <w:r>
        <w:rPr>
          <w:color w:val="585858"/>
          <w:sz w:val="22"/>
        </w:rPr>
        <w:t>parties.</w:t>
      </w:r>
    </w:p>
    <w:p>
      <w:pPr>
        <w:pStyle w:val="BodyText"/>
        <w:spacing w:before="118"/>
        <w:ind w:left="853" w:right="415"/>
      </w:pPr>
      <w:r>
        <w:rPr>
          <w:color w:val="585858"/>
        </w:rPr>
        <w:t>Such a diverse set of participants supports the implementation of a wider set of activities and will not be relegated to the unique role of implementers. The needs and views of potential partners will be heard via dedicated dialogues undertaken within the project. The improvement of RE-systems by fostering innovations and innovation systems is a strategic element of the long-term implementation approach of LEAP-RE</w:t>
      </w:r>
      <w:r>
        <w:rPr>
          <w:color w:val="585858"/>
          <w:vertAlign w:val="superscript"/>
        </w:rPr>
        <w:t>4</w:t>
      </w:r>
      <w:r>
        <w:rPr>
          <w:color w:val="585858"/>
          <w:vertAlign w:val="baseline"/>
        </w:rPr>
        <w:t> which at any rate, requires a strong commitment of public authorities because it implies strategy integration up to the highest level.</w:t>
      </w:r>
    </w:p>
    <w:p>
      <w:pPr>
        <w:pStyle w:val="BodyText"/>
        <w:spacing w:before="123"/>
        <w:ind w:left="853" w:right="311"/>
      </w:pPr>
      <w:r>
        <w:rPr>
          <w:color w:val="585858"/>
        </w:rPr>
        <w:t>Particular attention should be paid to the inclusion of stakeholders from the private sector. Participation of the private sector in LEAP-RE activities (both internal and external to the consortium) is foreseen, as well as in the funding partnership as e.g. potential donors. Their willingness to invest in research is likely dependent on their accruing benefits from the research results. Engagement with the private sector should take place early enough in the development of the partnership to ensure their ability to participate in the shaping of the</w:t>
      </w:r>
      <w:r>
        <w:rPr>
          <w:color w:val="585858"/>
          <w:spacing w:val="-8"/>
        </w:rPr>
        <w:t> </w:t>
      </w:r>
      <w:r>
        <w:rPr>
          <w:color w:val="585858"/>
        </w:rPr>
        <w:t>partnership.</w:t>
      </w:r>
    </w:p>
    <w:p>
      <w:pPr>
        <w:pStyle w:val="BodyText"/>
      </w:pPr>
    </w:p>
    <w:p>
      <w:pPr>
        <w:pStyle w:val="BodyText"/>
        <w:spacing w:before="3"/>
        <w:rPr>
          <w:sz w:val="17"/>
        </w:rPr>
      </w:pPr>
    </w:p>
    <w:p>
      <w:pPr>
        <w:pStyle w:val="Heading1"/>
        <w:numPr>
          <w:ilvl w:val="1"/>
          <w:numId w:val="1"/>
        </w:numPr>
        <w:tabs>
          <w:tab w:pos="985" w:val="left" w:leader="none"/>
          <w:tab w:pos="986" w:val="left" w:leader="none"/>
        </w:tabs>
        <w:spacing w:line="240" w:lineRule="auto" w:before="0" w:after="0"/>
        <w:ind w:left="985" w:right="0" w:hanging="495"/>
        <w:jc w:val="left"/>
      </w:pPr>
      <w:bookmarkStart w:name="_bookmark2" w:id="6"/>
      <w:bookmarkEnd w:id="6"/>
      <w:r>
        <w:rPr>
          <w:b w:val="0"/>
        </w:rPr>
      </w:r>
      <w:bookmarkStart w:name="_bookmark2" w:id="7"/>
      <w:bookmarkEnd w:id="7"/>
      <w:r>
        <w:rPr>
          <w:color w:val="585858"/>
        </w:rPr>
        <w:t>Ope</w:t>
      </w:r>
      <w:r>
        <w:rPr>
          <w:color w:val="585858"/>
        </w:rPr>
        <w:t>n Calls and LEAP-RE Consortium</w:t>
      </w:r>
      <w:r>
        <w:rPr>
          <w:color w:val="585858"/>
          <w:spacing w:val="-5"/>
        </w:rPr>
        <w:t> </w:t>
      </w:r>
      <w:r>
        <w:rPr>
          <w:color w:val="585858"/>
        </w:rPr>
        <w:t>activities</w:t>
      </w:r>
    </w:p>
    <w:p>
      <w:pPr>
        <w:pStyle w:val="BodyText"/>
        <w:spacing w:before="241"/>
        <w:ind w:left="853" w:right="309"/>
      </w:pPr>
      <w:r>
        <w:rPr>
          <w:color w:val="585858"/>
        </w:rPr>
        <w:t>The LEAP-RE consortium may include within the project activities two main types of actions: open calls for research proposals where third parties may be engaged, enlarging the network of researchers as beneficiaries on the one hand, and research and innovation and capacity building activities directly undertaken by the consortium members on the other hand.</w:t>
      </w:r>
    </w:p>
    <w:p>
      <w:pPr>
        <w:pStyle w:val="BodyText"/>
        <w:spacing w:before="119"/>
        <w:ind w:left="853" w:right="5599"/>
      </w:pPr>
      <w:r>
        <w:rPr/>
        <w:pict>
          <v:shape style="position:absolute;margin-left:295.549988pt;margin-top:15.583645pt;width:263.9pt;height:143.3pt;mso-position-horizontal-relative:page;mso-position-vertical-relative:paragraph;z-index:1240" type="#_x0000_t202" filled="false" stroked="true" strokeweight="2pt" strokecolor="#00991d">
            <v:textbox inset="0,0,0,0">
              <w:txbxContent>
                <w:p>
                  <w:pPr>
                    <w:spacing w:before="73"/>
                    <w:ind w:left="2389" w:right="0" w:firstLine="0"/>
                    <w:jc w:val="left"/>
                    <w:rPr>
                      <w:b/>
                      <w:sz w:val="18"/>
                    </w:rPr>
                  </w:pPr>
                  <w:r>
                    <w:rPr>
                      <w:b/>
                      <w:color w:val="585858"/>
                      <w:sz w:val="22"/>
                    </w:rPr>
                    <w:t>C</w:t>
                  </w:r>
                  <w:r>
                    <w:rPr>
                      <w:b/>
                      <w:color w:val="585858"/>
                      <w:sz w:val="18"/>
                    </w:rPr>
                    <w:t>ALLS</w:t>
                  </w:r>
                </w:p>
                <w:p>
                  <w:pPr>
                    <w:pStyle w:val="BodyText"/>
                    <w:numPr>
                      <w:ilvl w:val="0"/>
                      <w:numId w:val="3"/>
                    </w:numPr>
                    <w:tabs>
                      <w:tab w:pos="505" w:val="left" w:leader="none"/>
                    </w:tabs>
                    <w:spacing w:line="240" w:lineRule="auto" w:before="120" w:after="0"/>
                    <w:ind w:left="504" w:right="236" w:hanging="360"/>
                    <w:jc w:val="left"/>
                  </w:pPr>
                  <w:r>
                    <w:rPr>
                      <w:color w:val="585858"/>
                    </w:rPr>
                    <w:t>Open Calls: competitive calls open to participation from third parties. Funded by research funders’ budget along with the EC’s budget</w:t>
                  </w:r>
                  <w:r>
                    <w:rPr>
                      <w:color w:val="585858"/>
                      <w:spacing w:val="-11"/>
                    </w:rPr>
                    <w:t> </w:t>
                  </w:r>
                  <w:r>
                    <w:rPr>
                      <w:color w:val="585858"/>
                    </w:rPr>
                    <w:t>contribution.</w:t>
                  </w:r>
                </w:p>
                <w:p>
                  <w:pPr>
                    <w:pStyle w:val="BodyText"/>
                    <w:numPr>
                      <w:ilvl w:val="0"/>
                      <w:numId w:val="3"/>
                    </w:numPr>
                    <w:tabs>
                      <w:tab w:pos="505" w:val="left" w:leader="none"/>
                    </w:tabs>
                    <w:spacing w:line="240" w:lineRule="auto" w:before="118" w:after="0"/>
                    <w:ind w:left="504" w:right="283" w:hanging="360"/>
                    <w:jc w:val="left"/>
                  </w:pPr>
                  <w:r>
                    <w:rPr>
                      <w:color w:val="585858"/>
                    </w:rPr>
                    <w:t>Consortium Activities: jointly executed and co- designed activities, implemented by LEAP-RE consortium members benefitting from 50% of the eligible</w:t>
                  </w:r>
                  <w:r>
                    <w:rPr>
                      <w:color w:val="585858"/>
                      <w:spacing w:val="-1"/>
                    </w:rPr>
                    <w:t> </w:t>
                  </w:r>
                  <w:r>
                    <w:rPr>
                      <w:color w:val="585858"/>
                    </w:rPr>
                    <w:t>costs.</w:t>
                  </w:r>
                </w:p>
              </w:txbxContent>
            </v:textbox>
            <v:stroke dashstyle="solid"/>
            <w10:wrap type="none"/>
          </v:shape>
        </w:pict>
      </w:r>
      <w:r>
        <w:rPr>
          <w:b/>
          <w:color w:val="585858"/>
        </w:rPr>
        <w:t>Open calls </w:t>
      </w:r>
      <w:r>
        <w:rPr>
          <w:color w:val="585858"/>
        </w:rPr>
        <w:t>should be jointly designed and implemented to support some of the research and other activities defined in the R&amp;I and HICB roadmaps’ agendas described in the #1 BP ‘Roadmaps &amp; Ecosystem’. The open calls should be competitive and open to participation from actors outside the consortium, on the basis of the criteria agreed by the participating funding parties. The calls should be funded with research funders’ budget of the consortium together with part of</w:t>
      </w:r>
      <w:r>
        <w:rPr>
          <w:color w:val="585858"/>
          <w:spacing w:val="-9"/>
        </w:rPr>
        <w:t> </w:t>
      </w:r>
      <w:r>
        <w:rPr>
          <w:color w:val="585858"/>
        </w:rPr>
        <w:t>the</w:t>
      </w:r>
    </w:p>
    <w:p>
      <w:pPr>
        <w:pStyle w:val="BodyText"/>
        <w:spacing w:before="1"/>
        <w:ind w:left="853" w:right="364"/>
      </w:pPr>
      <w:r>
        <w:rPr>
          <w:color w:val="585858"/>
        </w:rPr>
        <w:t>European Commission’s (EC) budget contribution to LEAP-RE. The funding of the projects should be a balanced cooperation between African and European institutions. The participation options of researchers from countries who are not involved in the LEAP-RE consortium have to be clarified in detail and comply with the Annotated Model Grant Agreement (AMGA)</w:t>
      </w:r>
      <w:r>
        <w:rPr>
          <w:color w:val="585858"/>
          <w:vertAlign w:val="superscript"/>
        </w:rPr>
        <w:t>5</w:t>
      </w:r>
      <w:r>
        <w:rPr>
          <w:color w:val="585858"/>
          <w:vertAlign w:val="baseline"/>
        </w:rPr>
        <w:t>. Eligibility criteria could force to have e.g. at least 2 members of the LEAP-RE consortium involved in the proposal, one from Europe and one from Africa. This has to be discussed and agreed upon by the partners who will form the LEAP-RE consortium and draft the project. Common eligibility criteria for LEAP-RE will have to be also</w:t>
      </w:r>
    </w:p>
    <w:p>
      <w:pPr>
        <w:pStyle w:val="BodyText"/>
        <w:spacing w:before="8"/>
        <w:rPr>
          <w:sz w:val="14"/>
        </w:rPr>
      </w:pPr>
      <w:r>
        <w:rPr/>
        <w:pict>
          <v:line style="position:absolute;mso-position-horizontal-relative:page;mso-position-vertical-relative:paragraph;z-index:-832;mso-wrap-distance-left:0;mso-wrap-distance-right:0" from="56.664001pt,11.296138pt" to="200.684001pt,11.296138pt" stroked="true" strokeweight=".72003pt" strokecolor="#585858">
            <v:stroke dashstyle="solid"/>
            <w10:wrap type="topAndBottom"/>
          </v:line>
        </w:pict>
      </w:r>
    </w:p>
    <w:p>
      <w:pPr>
        <w:pStyle w:val="BodyText"/>
        <w:spacing w:before="6"/>
        <w:rPr>
          <w:sz w:val="9"/>
        </w:rPr>
      </w:pPr>
    </w:p>
    <w:p>
      <w:pPr>
        <w:spacing w:before="73"/>
        <w:ind w:left="133" w:right="542" w:firstLine="0"/>
        <w:jc w:val="left"/>
        <w:rPr>
          <w:sz w:val="20"/>
        </w:rPr>
      </w:pPr>
      <w:r>
        <w:rPr>
          <w:color w:val="585858"/>
          <w:position w:val="7"/>
          <w:sz w:val="13"/>
        </w:rPr>
        <w:t>4 </w:t>
      </w:r>
      <w:r>
        <w:rPr>
          <w:color w:val="585858"/>
          <w:sz w:val="20"/>
        </w:rPr>
        <w:t>Please have a look at the draft #3 Background Paper ‘Long-term perspective’ about the long-term approach for the network of partners (Theory of Change and Impact Pathway (TCIP), the Programme and Innovation Management Cycle (PIMC) and the AU-EU Knowledge Management and Communication Framework (KMCF)).</w:t>
      </w:r>
    </w:p>
    <w:p>
      <w:pPr>
        <w:spacing w:before="117"/>
        <w:ind w:left="699" w:right="0" w:firstLine="0"/>
        <w:jc w:val="left"/>
        <w:rPr>
          <w:sz w:val="20"/>
        </w:rPr>
      </w:pPr>
      <w:r>
        <w:rPr>
          <w:color w:val="585858"/>
          <w:position w:val="7"/>
          <w:sz w:val="13"/>
        </w:rPr>
        <w:t>5 </w:t>
      </w:r>
      <w:hyperlink r:id="rId20">
        <w:r>
          <w:rPr>
            <w:color w:val="585858"/>
            <w:sz w:val="20"/>
          </w:rPr>
          <w:t>http://ec.europa.eu/research/participants/data/ref/h2020/grants_manual/amga/h2020-amga_en.pdf</w:t>
        </w:r>
      </w:hyperlink>
    </w:p>
    <w:p>
      <w:pPr>
        <w:spacing w:after="0"/>
        <w:jc w:val="left"/>
        <w:rPr>
          <w:sz w:val="20"/>
        </w:rPr>
        <w:sectPr>
          <w:pgSz w:w="11920" w:h="16850"/>
          <w:pgMar w:header="0" w:footer="1162" w:top="960" w:bottom="1360" w:left="1000" w:right="580"/>
        </w:sectPr>
      </w:pPr>
    </w:p>
    <w:p>
      <w:pPr>
        <w:pStyle w:val="BodyText"/>
        <w:spacing w:before="29"/>
        <w:ind w:left="853" w:right="491"/>
      </w:pPr>
      <w:r>
        <w:rPr>
          <w:color w:val="585858"/>
        </w:rPr>
        <w:t>defined by the LEAP-RE consortium. Together with additional individual (national) funding and contribution regulations to whom PRE-LEAP-RE consortium is dedicating a specific document (see #4 BP ‘Individual Funding &amp; Contribution Regulations’).</w:t>
      </w:r>
    </w:p>
    <w:p>
      <w:pPr>
        <w:pStyle w:val="BodyText"/>
        <w:spacing w:before="122"/>
        <w:ind w:left="853" w:right="265"/>
        <w:jc w:val="both"/>
      </w:pPr>
      <w:r>
        <w:rPr>
          <w:b/>
          <w:color w:val="585858"/>
        </w:rPr>
        <w:t>Research &amp; innovation and capacity building activities </w:t>
      </w:r>
      <w:r>
        <w:rPr>
          <w:color w:val="585858"/>
        </w:rPr>
        <w:t>will be jointly designed and carried out by the LEAP-RE consortium members. These ‘internal consortium activities’, fully aligned with the R&amp;I and HICB agendas and impact pathways, described in the #1 BP ‘Roadmaps &amp; Ecosystem’, should be assigned based on competence and expertise of each member, by following a transparent and participative process, detailed in the Consortium Agreement (CA). These activities should be funded with research performing institutions’ contribution, together with part of the European Commission’s (EC) budget for LEAP-RE. The execution of these activities should be a balanced cooperation between AU and EU institutions. Research performing and other institutions participating should contribute to share at least the 50% of the direct eligible costs. It will be possible to engage external third parties, if their contribution is considered essential and the budget allocation is made in compliance with the GA. Aggregation of consortium members for the implementation of these activities will reflect equity among the EU and AU consortium members</w:t>
      </w:r>
    </w:p>
    <w:p>
      <w:pPr>
        <w:pStyle w:val="BodyText"/>
        <w:spacing w:before="121"/>
        <w:ind w:left="853" w:right="473"/>
      </w:pPr>
      <w:r>
        <w:rPr>
          <w:color w:val="585858"/>
        </w:rPr>
        <w:t>The two points related to open calls and consortium activities will form the basis for R&amp;I funding and partly for HICB funding too. A combination of both open calls and execution ‘internal’ LEAP-RE consortium activities is possible and foreseen.</w:t>
      </w:r>
      <w:r>
        <w:rPr>
          <w:color w:val="585858"/>
          <w:vertAlign w:val="superscript"/>
        </w:rPr>
        <w:t>6</w:t>
      </w:r>
    </w:p>
    <w:p>
      <w:pPr>
        <w:pStyle w:val="BodyText"/>
        <w:rPr>
          <w:sz w:val="24"/>
        </w:rPr>
      </w:pPr>
    </w:p>
    <w:p>
      <w:pPr>
        <w:pStyle w:val="Heading1"/>
        <w:numPr>
          <w:ilvl w:val="1"/>
          <w:numId w:val="1"/>
        </w:numPr>
        <w:tabs>
          <w:tab w:pos="985" w:val="left" w:leader="none"/>
          <w:tab w:pos="986" w:val="left" w:leader="none"/>
        </w:tabs>
        <w:spacing w:line="240" w:lineRule="auto" w:before="186" w:after="0"/>
        <w:ind w:left="985" w:right="0" w:hanging="495"/>
        <w:jc w:val="left"/>
      </w:pPr>
      <w:bookmarkStart w:name="_bookmark3" w:id="8"/>
      <w:bookmarkEnd w:id="8"/>
      <w:r>
        <w:rPr>
          <w:b w:val="0"/>
        </w:rPr>
      </w:r>
      <w:bookmarkStart w:name="_bookmark3" w:id="9"/>
      <w:bookmarkEnd w:id="9"/>
      <w:r>
        <w:rPr>
          <w:color w:val="585858"/>
        </w:rPr>
        <w:t>On</w:t>
      </w:r>
      <w:r>
        <w:rPr>
          <w:color w:val="585858"/>
        </w:rPr>
        <w:t>e Coordination Secretariat and Call</w:t>
      </w:r>
      <w:r>
        <w:rPr>
          <w:color w:val="585858"/>
          <w:spacing w:val="-3"/>
        </w:rPr>
        <w:t> </w:t>
      </w:r>
      <w:r>
        <w:rPr>
          <w:color w:val="585858"/>
        </w:rPr>
        <w:t>Secretariats</w:t>
      </w:r>
    </w:p>
    <w:p>
      <w:pPr>
        <w:pStyle w:val="BodyText"/>
        <w:spacing w:before="240"/>
        <w:ind w:left="853" w:right="404"/>
      </w:pPr>
      <w:r>
        <w:rPr/>
        <w:pict>
          <v:shape style="position:absolute;margin-left:296.25pt;margin-top:48.683628pt;width:263.9pt;height:104.3pt;mso-position-horizontal-relative:page;mso-position-vertical-relative:paragraph;z-index:-28264" type="#_x0000_t202" filled="false" stroked="true" strokeweight="2pt" strokecolor="#00991d">
            <v:textbox inset="0,0,0,0">
              <w:txbxContent>
                <w:p>
                  <w:pPr>
                    <w:spacing w:before="72"/>
                    <w:ind w:left="2005" w:right="0" w:firstLine="0"/>
                    <w:jc w:val="left"/>
                    <w:rPr>
                      <w:b/>
                      <w:sz w:val="18"/>
                    </w:rPr>
                  </w:pPr>
                  <w:r>
                    <w:rPr>
                      <w:b/>
                      <w:color w:val="585858"/>
                      <w:sz w:val="22"/>
                    </w:rPr>
                    <w:t>C</w:t>
                  </w:r>
                  <w:r>
                    <w:rPr>
                      <w:b/>
                      <w:color w:val="585858"/>
                      <w:sz w:val="18"/>
                    </w:rPr>
                    <w:t>OORDINATION</w:t>
                  </w:r>
                </w:p>
                <w:p>
                  <w:pPr>
                    <w:pStyle w:val="BodyText"/>
                    <w:numPr>
                      <w:ilvl w:val="0"/>
                      <w:numId w:val="4"/>
                    </w:numPr>
                    <w:tabs>
                      <w:tab w:pos="551" w:val="left" w:leader="none"/>
                    </w:tabs>
                    <w:spacing w:line="240" w:lineRule="auto" w:before="120" w:after="0"/>
                    <w:ind w:left="550" w:right="728" w:hanging="360"/>
                    <w:jc w:val="left"/>
                  </w:pPr>
                  <w:r>
                    <w:rPr>
                      <w:color w:val="585858"/>
                    </w:rPr>
                    <w:t>A Coordination Secretariat for managing the Network.</w:t>
                  </w:r>
                </w:p>
                <w:p>
                  <w:pPr>
                    <w:pStyle w:val="BodyText"/>
                    <w:numPr>
                      <w:ilvl w:val="0"/>
                      <w:numId w:val="4"/>
                    </w:numPr>
                    <w:tabs>
                      <w:tab w:pos="551" w:val="left" w:leader="none"/>
                    </w:tabs>
                    <w:spacing w:line="240" w:lineRule="auto" w:before="121" w:after="0"/>
                    <w:ind w:left="550" w:right="140" w:hanging="360"/>
                    <w:jc w:val="left"/>
                  </w:pPr>
                  <w:r>
                    <w:rPr>
                      <w:color w:val="585858"/>
                    </w:rPr>
                    <w:t>A Call Secretariat for managing the calls, if not included in tasks of the Coordination Secretariat. A rotating secretariat could be</w:t>
                  </w:r>
                  <w:r>
                    <w:rPr>
                      <w:color w:val="585858"/>
                      <w:spacing w:val="-5"/>
                    </w:rPr>
                    <w:t> </w:t>
                  </w:r>
                  <w:r>
                    <w:rPr>
                      <w:color w:val="585858"/>
                    </w:rPr>
                    <w:t>envisaged.</w:t>
                  </w:r>
                </w:p>
              </w:txbxContent>
            </v:textbox>
            <v:stroke dashstyle="solid"/>
            <w10:wrap type="none"/>
          </v:shape>
        </w:pict>
      </w:r>
      <w:r>
        <w:rPr>
          <w:color w:val="585858"/>
        </w:rPr>
        <w:t>The formation of one or more LEAP-RE secretariat(s) is one element of the LEAP-RE approach. The design of the secretariat(s) depends on the formats of research funding, like open calls or research by the consortium. This would be a decision</w:t>
      </w:r>
    </w:p>
    <w:p>
      <w:pPr>
        <w:pStyle w:val="BodyText"/>
        <w:spacing w:before="2"/>
        <w:ind w:left="853" w:right="5709"/>
        <w:jc w:val="both"/>
      </w:pPr>
      <w:r>
        <w:rPr>
          <w:color w:val="585858"/>
        </w:rPr>
        <w:t>to be made based on an agreement of the LEAP-RE consortium partners in particular by the funding agencies.</w:t>
      </w:r>
    </w:p>
    <w:p>
      <w:pPr>
        <w:pStyle w:val="BodyText"/>
        <w:spacing w:before="118"/>
        <w:ind w:left="853" w:right="5633"/>
      </w:pPr>
      <w:r>
        <w:rPr>
          <w:color w:val="585858"/>
        </w:rPr>
        <w:t>One Coordination Secretariat (CoSe) could be considered for managing and coordinating the LEAP-RE network (see the Draft Management and Implementation Concept). Furthermore, if it is not the role</w:t>
      </w:r>
    </w:p>
    <w:p>
      <w:pPr>
        <w:pStyle w:val="BodyText"/>
        <w:spacing w:before="1"/>
        <w:ind w:left="853" w:right="435"/>
      </w:pPr>
      <w:r>
        <w:rPr>
          <w:color w:val="585858"/>
        </w:rPr>
        <w:t>of the CoSe to organise calls, specific Call Secretariat(s) (CS) could be considered for designing and implementing open calls for research proposals, depending on the investment level and geographical radius of funders.</w:t>
      </w:r>
    </w:p>
    <w:p>
      <w:pPr>
        <w:pStyle w:val="BodyText"/>
        <w:spacing w:before="119"/>
        <w:ind w:left="853" w:right="414"/>
      </w:pPr>
      <w:r>
        <w:rPr>
          <w:color w:val="585858"/>
        </w:rPr>
        <w:t>For the long-term perspective after LEAP-RE, a rotating secretariat structure could be envisaged, with periodically changing responsibilities of African and European institutions in co-leadership.</w:t>
      </w:r>
    </w:p>
    <w:p>
      <w:pPr>
        <w:pStyle w:val="BodyText"/>
        <w:spacing w:before="121"/>
        <w:ind w:left="853" w:right="287"/>
      </w:pPr>
      <w:r>
        <w:rPr>
          <w:color w:val="585858"/>
        </w:rPr>
        <w:t>The sustainable long-term funding of a CoSe and perhaps CS after LEAP-RE is an issue to be discussed and developed with the stakeholders. In LEAP-RE might be options for funding both secretariats, partly or even 100%. For the long-term, after the LEAP-RE programme, a sustainable structure like e.g. a membership fee for funding a sustainable secretariat infrastructure could be envisaged.</w:t>
      </w:r>
    </w:p>
    <w:p>
      <w:pPr>
        <w:pStyle w:val="BodyText"/>
        <w:spacing w:before="121"/>
        <w:ind w:left="853" w:right="293"/>
      </w:pPr>
      <w:r>
        <w:rPr>
          <w:color w:val="585858"/>
        </w:rPr>
        <w:t>The total cost of the management of LEAP-RE will be financially supported by the EC. A potential scenario which includes 2 coordinator (full time, senior profile), 4 policy officers (2 senior and 2 junior including two of them as communication manager at 50%), 2 financial officer and 2 assistant (full time) might cost around € 5 Million. All positions should be represented by one African and one European colleague. The consortium will have to agree on the format and a balanced international selection of stuff members of the CoSE.</w:t>
      </w:r>
    </w:p>
    <w:p>
      <w:pPr>
        <w:pStyle w:val="BodyText"/>
        <w:spacing w:before="8"/>
        <w:rPr>
          <w:sz w:val="21"/>
        </w:rPr>
      </w:pPr>
      <w:r>
        <w:rPr/>
        <w:pict>
          <v:line style="position:absolute;mso-position-horizontal-relative:page;mso-position-vertical-relative:paragraph;z-index:-784;mso-wrap-distance-left:0;mso-wrap-distance-right:0" from="56.664001pt,15.601421pt" to="200.684001pt,15.601421pt" stroked="true" strokeweight=".71997pt" strokecolor="#585858">
            <v:stroke dashstyle="solid"/>
            <w10:wrap type="topAndBottom"/>
          </v:line>
        </w:pict>
      </w:r>
    </w:p>
    <w:p>
      <w:pPr>
        <w:pStyle w:val="BodyText"/>
        <w:spacing w:before="6"/>
        <w:rPr>
          <w:sz w:val="9"/>
        </w:rPr>
      </w:pPr>
    </w:p>
    <w:p>
      <w:pPr>
        <w:spacing w:before="73"/>
        <w:ind w:left="133" w:right="0" w:firstLine="0"/>
        <w:jc w:val="left"/>
        <w:rPr>
          <w:sz w:val="20"/>
        </w:rPr>
      </w:pPr>
      <w:r>
        <w:rPr>
          <w:color w:val="585858"/>
          <w:position w:val="7"/>
          <w:sz w:val="13"/>
        </w:rPr>
        <w:t>6 </w:t>
      </w:r>
      <w:r>
        <w:rPr>
          <w:color w:val="585858"/>
          <w:sz w:val="20"/>
        </w:rPr>
        <w:t>Please have a look at the draft #1 BP Roadmaps &amp; Ecosystem.</w:t>
      </w:r>
    </w:p>
    <w:p>
      <w:pPr>
        <w:spacing w:after="0"/>
        <w:jc w:val="left"/>
        <w:rPr>
          <w:sz w:val="20"/>
        </w:rPr>
        <w:sectPr>
          <w:pgSz w:w="11920" w:h="16850"/>
          <w:pgMar w:header="0" w:footer="1162" w:top="960" w:bottom="1360" w:left="1000" w:right="580"/>
        </w:sectPr>
      </w:pPr>
    </w:p>
    <w:p>
      <w:pPr>
        <w:pStyle w:val="BodyText"/>
        <w:spacing w:before="29"/>
        <w:ind w:left="853" w:right="817"/>
      </w:pPr>
      <w:r>
        <w:rPr/>
        <w:pict>
          <v:shape style="position:absolute;margin-left:92.699997pt;margin-top:34.383610pt;width:467.3pt;height:304.05pt;mso-position-horizontal-relative:page;mso-position-vertical-relative:paragraph;z-index:-736;mso-wrap-distance-left:0;mso-wrap-distance-right:0" type="#_x0000_t202" filled="false" stroked="true" strokeweight="2pt" strokecolor="#00991d">
            <v:textbox inset="0,0,0,0">
              <w:txbxContent>
                <w:p>
                  <w:pPr>
                    <w:spacing w:before="70"/>
                    <w:ind w:left="3129" w:right="3128" w:firstLine="0"/>
                    <w:jc w:val="center"/>
                    <w:rPr>
                      <w:b/>
                      <w:sz w:val="22"/>
                    </w:rPr>
                  </w:pPr>
                  <w:r>
                    <w:rPr>
                      <w:b/>
                      <w:color w:val="585858"/>
                      <w:sz w:val="22"/>
                    </w:rPr>
                    <w:t>T</w:t>
                  </w:r>
                  <w:r>
                    <w:rPr>
                      <w:b/>
                      <w:color w:val="585858"/>
                      <w:sz w:val="18"/>
                    </w:rPr>
                    <w:t>HE </w:t>
                  </w:r>
                  <w:r>
                    <w:rPr>
                      <w:b/>
                      <w:color w:val="585858"/>
                      <w:sz w:val="22"/>
                    </w:rPr>
                    <w:t>BELMONT FORUM MODEL</w:t>
                  </w:r>
                </w:p>
                <w:p>
                  <w:pPr>
                    <w:pStyle w:val="BodyText"/>
                    <w:numPr>
                      <w:ilvl w:val="0"/>
                      <w:numId w:val="5"/>
                    </w:numPr>
                    <w:tabs>
                      <w:tab w:pos="596" w:val="left" w:leader="none"/>
                    </w:tabs>
                    <w:spacing w:line="240" w:lineRule="auto" w:before="120" w:after="0"/>
                    <w:ind w:left="596" w:right="607" w:hanging="360"/>
                    <w:jc w:val="left"/>
                  </w:pPr>
                  <w:r>
                    <w:rPr>
                      <w:color w:val="585858"/>
                    </w:rPr>
                    <w:t>Scientist and stakeholder support is made possible through Collaborative Research Actions (CRAs), which are the Forum equivalent of a call for proposals. New themes are developed through a scoping process and made available for proposals through the Belmont Forum website and its Grant Operations</w:t>
                  </w:r>
                  <w:r>
                    <w:rPr>
                      <w:color w:val="585858"/>
                      <w:spacing w:val="-5"/>
                    </w:rPr>
                    <w:t> </w:t>
                  </w:r>
                  <w:r>
                    <w:rPr>
                      <w:color w:val="585858"/>
                    </w:rPr>
                    <w:t>page.</w:t>
                  </w:r>
                </w:p>
                <w:p>
                  <w:pPr>
                    <w:pStyle w:val="BodyText"/>
                    <w:numPr>
                      <w:ilvl w:val="0"/>
                      <w:numId w:val="5"/>
                    </w:numPr>
                    <w:tabs>
                      <w:tab w:pos="596" w:val="left" w:leader="none"/>
                    </w:tabs>
                    <w:spacing w:line="240" w:lineRule="auto" w:before="121" w:after="0"/>
                    <w:ind w:left="596" w:right="219" w:hanging="360"/>
                    <w:jc w:val="left"/>
                  </w:pPr>
                  <w:r>
                    <w:rPr>
                      <w:color w:val="585858"/>
                    </w:rPr>
                    <w:t>Each proposal submitted to a CRA theme in the Belmont Forum Grants Operations (BFgo) must consist of a project co-developed by natural scientists, social scientists, and stakeholders that hail from at least three</w:t>
                  </w:r>
                  <w:r>
                    <w:rPr>
                      <w:color w:val="585858"/>
                      <w:spacing w:val="-4"/>
                    </w:rPr>
                    <w:t> </w:t>
                  </w:r>
                  <w:r>
                    <w:rPr>
                      <w:color w:val="585858"/>
                    </w:rPr>
                    <w:t>countries.</w:t>
                  </w:r>
                </w:p>
                <w:p>
                  <w:pPr>
                    <w:pStyle w:val="BodyText"/>
                    <w:numPr>
                      <w:ilvl w:val="0"/>
                      <w:numId w:val="5"/>
                    </w:numPr>
                    <w:tabs>
                      <w:tab w:pos="596" w:val="left" w:leader="none"/>
                    </w:tabs>
                    <w:spacing w:line="240" w:lineRule="auto" w:before="119" w:after="0"/>
                    <w:ind w:left="596" w:right="241" w:hanging="360"/>
                    <w:jc w:val="left"/>
                  </w:pPr>
                  <w:r>
                    <w:rPr>
                      <w:color w:val="585858"/>
                    </w:rPr>
                    <w:t>Stakeholder is used in its broadest sense in CRAs, representing the potential to co-develop and co-implement projects with communities, policymakers, business and industry, unionized bodies, tribal organizations, non-governmental organizations, and many others not listed</w:t>
                  </w:r>
                  <w:r>
                    <w:rPr>
                      <w:color w:val="585858"/>
                      <w:spacing w:val="-23"/>
                    </w:rPr>
                    <w:t> </w:t>
                  </w:r>
                  <w:r>
                    <w:rPr>
                      <w:color w:val="585858"/>
                    </w:rPr>
                    <w:t>here.</w:t>
                  </w:r>
                </w:p>
                <w:p>
                  <w:pPr>
                    <w:pStyle w:val="BodyText"/>
                    <w:numPr>
                      <w:ilvl w:val="0"/>
                      <w:numId w:val="5"/>
                    </w:numPr>
                    <w:tabs>
                      <w:tab w:pos="596" w:val="left" w:leader="none"/>
                    </w:tabs>
                    <w:spacing w:line="240" w:lineRule="auto" w:before="121" w:after="0"/>
                    <w:ind w:left="596" w:right="250" w:hanging="360"/>
                    <w:jc w:val="left"/>
                  </w:pPr>
                  <w:r>
                    <w:rPr>
                      <w:color w:val="585858"/>
                    </w:rPr>
                    <w:t>The research itself can take place within one or more countries anywhere in the world, but the team itself must be eligible for support from three funding organizations participating in the CRA.</w:t>
                  </w:r>
                </w:p>
                <w:p>
                  <w:pPr>
                    <w:pStyle w:val="BodyText"/>
                    <w:numPr>
                      <w:ilvl w:val="0"/>
                      <w:numId w:val="5"/>
                    </w:numPr>
                    <w:tabs>
                      <w:tab w:pos="596" w:val="left" w:leader="none"/>
                    </w:tabs>
                    <w:spacing w:line="240" w:lineRule="auto" w:before="121" w:after="0"/>
                    <w:ind w:left="596" w:right="207" w:hanging="360"/>
                    <w:jc w:val="left"/>
                  </w:pPr>
                  <w:r>
                    <w:rPr>
                      <w:color w:val="585858"/>
                    </w:rPr>
                    <w:t>Projects are merit reviewed and awards are made through coordinated funding from individual organizations and participants would receive support from their respective</w:t>
                  </w:r>
                  <w:r>
                    <w:rPr>
                      <w:color w:val="585858"/>
                      <w:spacing w:val="-15"/>
                    </w:rPr>
                    <w:t> </w:t>
                  </w:r>
                  <w:r>
                    <w:rPr>
                      <w:color w:val="585858"/>
                    </w:rPr>
                    <w:t>institutions.</w:t>
                  </w:r>
                </w:p>
                <w:p>
                  <w:pPr>
                    <w:pStyle w:val="BodyText"/>
                    <w:numPr>
                      <w:ilvl w:val="0"/>
                      <w:numId w:val="5"/>
                    </w:numPr>
                    <w:tabs>
                      <w:tab w:pos="596" w:val="left" w:leader="none"/>
                    </w:tabs>
                    <w:spacing w:line="240" w:lineRule="auto" w:before="120" w:after="0"/>
                    <w:ind w:left="596" w:right="0" w:hanging="360"/>
                    <w:jc w:val="left"/>
                  </w:pPr>
                  <w:r>
                    <w:rPr>
                      <w:color w:val="585858"/>
                    </w:rPr>
                    <w:t>Not all Belmont Forum members participate in every</w:t>
                  </w:r>
                  <w:r>
                    <w:rPr>
                      <w:color w:val="585858"/>
                      <w:spacing w:val="-9"/>
                    </w:rPr>
                    <w:t> </w:t>
                  </w:r>
                  <w:r>
                    <w:rPr>
                      <w:color w:val="585858"/>
                    </w:rPr>
                    <w:t>CRA.</w:t>
                  </w:r>
                </w:p>
                <w:p>
                  <w:pPr>
                    <w:pStyle w:val="BodyText"/>
                    <w:spacing w:before="8"/>
                    <w:rPr>
                      <w:sz w:val="19"/>
                    </w:rPr>
                  </w:pPr>
                </w:p>
                <w:p>
                  <w:pPr>
                    <w:spacing w:before="1"/>
                    <w:ind w:left="3223" w:right="3128" w:firstLine="0"/>
                    <w:jc w:val="center"/>
                    <w:rPr>
                      <w:b/>
                      <w:sz w:val="18"/>
                    </w:rPr>
                  </w:pPr>
                  <w:hyperlink r:id="rId22">
                    <w:r>
                      <w:rPr>
                        <w:b/>
                        <w:color w:val="585858"/>
                        <w:sz w:val="18"/>
                      </w:rPr>
                      <w:t>HTTP</w:t>
                    </w:r>
                    <w:r>
                      <w:rPr>
                        <w:b/>
                        <w:color w:val="585858"/>
                        <w:sz w:val="22"/>
                      </w:rPr>
                      <w:t>://</w:t>
                    </w:r>
                    <w:r>
                      <w:rPr>
                        <w:b/>
                        <w:color w:val="585858"/>
                        <w:sz w:val="18"/>
                      </w:rPr>
                      <w:t>WWW</w:t>
                    </w:r>
                    <w:r>
                      <w:rPr>
                        <w:b/>
                        <w:color w:val="585858"/>
                        <w:sz w:val="22"/>
                      </w:rPr>
                      <w:t>.</w:t>
                    </w:r>
                    <w:r>
                      <w:rPr>
                        <w:b/>
                        <w:color w:val="585858"/>
                        <w:sz w:val="18"/>
                      </w:rPr>
                      <w:t>BELMONTFORUM</w:t>
                    </w:r>
                    <w:r>
                      <w:rPr>
                        <w:b/>
                        <w:color w:val="585858"/>
                        <w:sz w:val="22"/>
                      </w:rPr>
                      <w:t>.</w:t>
                    </w:r>
                    <w:r>
                      <w:rPr>
                        <w:b/>
                        <w:color w:val="585858"/>
                        <w:sz w:val="18"/>
                      </w:rPr>
                      <w:t>ORG</w:t>
                    </w:r>
                  </w:hyperlink>
                </w:p>
              </w:txbxContent>
            </v:textbox>
            <v:stroke dashstyle="solid"/>
            <w10:wrap type="topAndBottom"/>
          </v:shape>
        </w:pict>
      </w:r>
      <w:r>
        <w:rPr>
          <w:color w:val="585858"/>
        </w:rPr>
        <w:t>For a long-term perspective and maintenance of a CoSe, models like the BELMONT Forum will be considered.</w:t>
      </w:r>
    </w:p>
    <w:p>
      <w:pPr>
        <w:pStyle w:val="BodyText"/>
      </w:pPr>
    </w:p>
    <w:p>
      <w:pPr>
        <w:pStyle w:val="BodyText"/>
        <w:spacing w:before="6"/>
        <w:rPr>
          <w:sz w:val="16"/>
        </w:rPr>
      </w:pPr>
    </w:p>
    <w:p>
      <w:pPr>
        <w:pStyle w:val="Heading1"/>
        <w:numPr>
          <w:ilvl w:val="1"/>
          <w:numId w:val="1"/>
        </w:numPr>
        <w:tabs>
          <w:tab w:pos="985" w:val="left" w:leader="none"/>
          <w:tab w:pos="986" w:val="left" w:leader="none"/>
        </w:tabs>
        <w:spacing w:line="240" w:lineRule="auto" w:before="1" w:after="0"/>
        <w:ind w:left="985" w:right="0" w:hanging="495"/>
        <w:jc w:val="left"/>
      </w:pPr>
      <w:bookmarkStart w:name="_bookmark4" w:id="10"/>
      <w:bookmarkEnd w:id="10"/>
      <w:r>
        <w:rPr>
          <w:b w:val="0"/>
        </w:rPr>
      </w:r>
      <w:bookmarkStart w:name="_bookmark4" w:id="11"/>
      <w:bookmarkEnd w:id="11"/>
      <w:r>
        <w:rPr>
          <w:color w:val="585858"/>
        </w:rPr>
        <w:t>Contr</w:t>
      </w:r>
      <w:r>
        <w:rPr>
          <w:color w:val="585858"/>
        </w:rPr>
        <w:t>ibutor’s Influence on Research</w:t>
      </w:r>
      <w:r>
        <w:rPr>
          <w:color w:val="585858"/>
          <w:spacing w:val="-3"/>
        </w:rPr>
        <w:t> </w:t>
      </w:r>
      <w:r>
        <w:rPr>
          <w:color w:val="585858"/>
        </w:rPr>
        <w:t>Impact</w:t>
      </w:r>
    </w:p>
    <w:p>
      <w:pPr>
        <w:pStyle w:val="BodyText"/>
        <w:spacing w:before="238"/>
        <w:ind w:left="853" w:right="395"/>
      </w:pPr>
      <w:r>
        <w:rPr>
          <w:color w:val="585858"/>
        </w:rPr>
        <w:t>One major objective of the future funding of R&amp;I is to ensure a balanced collaboration in the research projects to be funded. A regional balance (equity in the participation from both African and European partners) is expected, as well as, given the same quality of the research, a balance in issues such as gender, career development (i.e. between early-career and established researchers), and age.</w:t>
      </w:r>
    </w:p>
    <w:p>
      <w:pPr>
        <w:pStyle w:val="BodyText"/>
        <w:spacing w:before="1"/>
        <w:ind w:left="853"/>
      </w:pPr>
      <w:r>
        <w:rPr>
          <w:color w:val="585858"/>
        </w:rPr>
        <w:t>Particular attention will be paid to ethics, in accordance with the EC regulations, and criteria for LEAP-</w:t>
      </w:r>
    </w:p>
    <w:p>
      <w:pPr>
        <w:pStyle w:val="BodyText"/>
        <w:ind w:left="853" w:right="5767"/>
      </w:pPr>
      <w:r>
        <w:rPr/>
        <w:pict>
          <v:shape style="position:absolute;margin-left:296.399994pt;margin-top:2.983639pt;width:263.9pt;height:93pt;mso-position-horizontal-relative:page;mso-position-vertical-relative:paragraph;z-index:1360" type="#_x0000_t202" filled="false" stroked="true" strokeweight="2pt" strokecolor="#00991d">
            <v:textbox inset="0,0,0,0">
              <w:txbxContent>
                <w:p>
                  <w:pPr>
                    <w:spacing w:before="74"/>
                    <w:ind w:left="1796" w:right="0" w:firstLine="0"/>
                    <w:jc w:val="left"/>
                    <w:rPr>
                      <w:b/>
                      <w:sz w:val="18"/>
                    </w:rPr>
                  </w:pPr>
                  <w:r>
                    <w:rPr>
                      <w:b/>
                      <w:color w:val="585858"/>
                      <w:sz w:val="22"/>
                    </w:rPr>
                    <w:t>C</w:t>
                  </w:r>
                  <w:r>
                    <w:rPr>
                      <w:b/>
                      <w:color w:val="585858"/>
                      <w:sz w:val="18"/>
                    </w:rPr>
                    <w:t>ALL </w:t>
                  </w:r>
                  <w:r>
                    <w:rPr>
                      <w:b/>
                      <w:color w:val="585858"/>
                      <w:sz w:val="22"/>
                    </w:rPr>
                    <w:t>R</w:t>
                  </w:r>
                  <w:r>
                    <w:rPr>
                      <w:b/>
                      <w:color w:val="585858"/>
                      <w:sz w:val="18"/>
                    </w:rPr>
                    <w:t>EQUIREMENTS</w:t>
                  </w:r>
                </w:p>
                <w:p>
                  <w:pPr>
                    <w:pStyle w:val="BodyText"/>
                    <w:numPr>
                      <w:ilvl w:val="0"/>
                      <w:numId w:val="6"/>
                    </w:numPr>
                    <w:tabs>
                      <w:tab w:pos="505" w:val="left" w:leader="none"/>
                    </w:tabs>
                    <w:spacing w:line="240" w:lineRule="auto" w:before="117" w:after="0"/>
                    <w:ind w:left="504" w:right="595" w:hanging="360"/>
                    <w:jc w:val="left"/>
                  </w:pPr>
                  <w:r>
                    <w:rPr>
                      <w:color w:val="585858"/>
                    </w:rPr>
                    <w:t>A balanced collaboration between African and European</w:t>
                  </w:r>
                  <w:r>
                    <w:rPr>
                      <w:color w:val="585858"/>
                      <w:spacing w:val="-1"/>
                    </w:rPr>
                    <w:t> </w:t>
                  </w:r>
                  <w:r>
                    <w:rPr>
                      <w:color w:val="585858"/>
                    </w:rPr>
                    <w:t>partners.</w:t>
                  </w:r>
                </w:p>
                <w:p>
                  <w:pPr>
                    <w:pStyle w:val="BodyText"/>
                    <w:numPr>
                      <w:ilvl w:val="0"/>
                      <w:numId w:val="6"/>
                    </w:numPr>
                    <w:tabs>
                      <w:tab w:pos="505" w:val="left" w:leader="none"/>
                    </w:tabs>
                    <w:spacing w:line="240" w:lineRule="auto" w:before="122" w:after="0"/>
                    <w:ind w:left="504" w:right="994" w:hanging="360"/>
                    <w:jc w:val="left"/>
                  </w:pPr>
                  <w:r>
                    <w:rPr>
                      <w:color w:val="585858"/>
                    </w:rPr>
                    <w:t>Attention to issues such as gender, career development, and</w:t>
                  </w:r>
                  <w:r>
                    <w:rPr>
                      <w:color w:val="585858"/>
                      <w:spacing w:val="-2"/>
                    </w:rPr>
                    <w:t> </w:t>
                  </w:r>
                  <w:r>
                    <w:rPr>
                      <w:color w:val="585858"/>
                    </w:rPr>
                    <w:t>age.</w:t>
                  </w:r>
                </w:p>
              </w:txbxContent>
            </v:textbox>
            <v:stroke dashstyle="solid"/>
            <w10:wrap type="none"/>
          </v:shape>
        </w:pict>
      </w:r>
      <w:r>
        <w:rPr>
          <w:color w:val="585858"/>
        </w:rPr>
        <w:t>RE funded activities. Other priorities may be identified through dialogue processes.</w:t>
      </w:r>
    </w:p>
    <w:p>
      <w:pPr>
        <w:pStyle w:val="BodyText"/>
        <w:spacing w:before="121"/>
        <w:ind w:left="853" w:right="5692"/>
      </w:pPr>
      <w:r>
        <w:rPr>
          <w:color w:val="585858"/>
        </w:rPr>
        <w:t>The implementation of such priorities should be included in the eligibility requirements of the calls as an addition to the core criteria of scientific excellence.</w:t>
      </w:r>
    </w:p>
    <w:p>
      <w:pPr>
        <w:pStyle w:val="BodyText"/>
        <w:spacing w:before="119"/>
        <w:ind w:left="853"/>
      </w:pPr>
      <w:r>
        <w:rPr>
          <w:color w:val="585858"/>
        </w:rPr>
        <w:t>Eligibility requirements could require a</w:t>
      </w:r>
    </w:p>
    <w:p>
      <w:pPr>
        <w:pStyle w:val="BodyText"/>
        <w:ind w:left="853" w:right="436"/>
      </w:pPr>
      <w:r>
        <w:rPr>
          <w:color w:val="585858"/>
        </w:rPr>
        <w:t>balance in the researchers and other individuals implementing the project, but also in the kind of structure requested, for example, by utilizing for selecting among the equally valuable researches, an inclusive, gender-oriented or youth-oriented approach.</w:t>
      </w:r>
    </w:p>
    <w:p>
      <w:pPr>
        <w:pStyle w:val="BodyText"/>
        <w:spacing w:before="121"/>
        <w:ind w:left="853" w:right="403"/>
      </w:pPr>
      <w:r>
        <w:rPr>
          <w:color w:val="585858"/>
        </w:rPr>
        <w:t>LEAP-RE will monitor and evaluate its own outputs, together with external support</w:t>
      </w:r>
      <w:r>
        <w:rPr>
          <w:color w:val="585858"/>
          <w:vertAlign w:val="superscript"/>
        </w:rPr>
        <w:t>7</w:t>
      </w:r>
      <w:r>
        <w:rPr>
          <w:color w:val="585858"/>
          <w:vertAlign w:val="baseline"/>
        </w:rPr>
        <w:t>. The evaluations should be conducted by both African and European partners in close collaboration. All the activities will be monitored and evaluated by using an M&amp;E framework developed specifically for LEAP-RE internal activities, jointly agreed by the consortium members and aligned with the most common and accepted international framework in terms of research and innovation in the field of renewable</w:t>
      </w:r>
    </w:p>
    <w:p>
      <w:pPr>
        <w:pStyle w:val="BodyText"/>
        <w:spacing w:before="1"/>
        <w:rPr>
          <w:sz w:val="24"/>
        </w:rPr>
      </w:pPr>
      <w:r>
        <w:rPr/>
        <w:pict>
          <v:line style="position:absolute;mso-position-horizontal-relative:page;mso-position-vertical-relative:paragraph;z-index:-712;mso-wrap-distance-left:0;mso-wrap-distance-right:0" from="56.664001pt,17.052124pt" to="200.684001pt,17.052124pt" stroked="true" strokeweight=".71997pt" strokecolor="#585858">
            <v:stroke dashstyle="solid"/>
            <w10:wrap type="topAndBottom"/>
          </v:line>
        </w:pict>
      </w:r>
    </w:p>
    <w:p>
      <w:pPr>
        <w:pStyle w:val="BodyText"/>
        <w:spacing w:before="6"/>
        <w:rPr>
          <w:sz w:val="9"/>
        </w:rPr>
      </w:pPr>
    </w:p>
    <w:p>
      <w:pPr>
        <w:spacing w:before="73"/>
        <w:ind w:left="133" w:right="0" w:firstLine="0"/>
        <w:jc w:val="left"/>
        <w:rPr>
          <w:sz w:val="20"/>
        </w:rPr>
      </w:pPr>
      <w:r>
        <w:rPr>
          <w:color w:val="585858"/>
          <w:position w:val="7"/>
          <w:sz w:val="13"/>
        </w:rPr>
        <w:t>7 </w:t>
      </w:r>
      <w:r>
        <w:rPr>
          <w:color w:val="585858"/>
          <w:sz w:val="20"/>
        </w:rPr>
        <w:t>Please see #3 BP Long-Term Perspective</w:t>
      </w:r>
    </w:p>
    <w:p>
      <w:pPr>
        <w:spacing w:after="0"/>
        <w:jc w:val="left"/>
        <w:rPr>
          <w:sz w:val="20"/>
        </w:rPr>
        <w:sectPr>
          <w:footerReference w:type="default" r:id="rId21"/>
          <w:pgSz w:w="11920" w:h="16850"/>
          <w:pgMar w:footer="805" w:header="0" w:top="960" w:bottom="1000" w:left="1000" w:right="580"/>
          <w:pgNumType w:start="6"/>
        </w:sectPr>
      </w:pPr>
    </w:p>
    <w:p>
      <w:pPr>
        <w:pStyle w:val="BodyText"/>
        <w:spacing w:before="29"/>
        <w:ind w:left="853" w:right="353"/>
      </w:pPr>
      <w:r>
        <w:rPr>
          <w:color w:val="585858"/>
        </w:rPr>
        <w:t>energies. In particular, the contribution of LEAP-RE to SDG7 will be taken into consideration with deep care. Particular attention should be paid to communicating research outputs, particularly to end- users and policy makers, for better research uptake. LEAP-RE as a whole will be monitored and evaluated too.</w:t>
      </w:r>
      <w:r>
        <w:rPr>
          <w:color w:val="585858"/>
          <w:vertAlign w:val="superscript"/>
        </w:rPr>
        <w:t>8</w:t>
      </w:r>
    </w:p>
    <w:p>
      <w:pPr>
        <w:pStyle w:val="BodyText"/>
        <w:spacing w:before="122"/>
        <w:ind w:left="853" w:right="1118"/>
      </w:pPr>
      <w:r>
        <w:rPr>
          <w:color w:val="585858"/>
        </w:rPr>
        <w:t>Joint activities and open calls with the AU Research Grants, Belmont Forum, or other relevant initiatives could be considered sooner or later.</w:t>
      </w:r>
    </w:p>
    <w:p>
      <w:pPr>
        <w:pStyle w:val="BodyText"/>
        <w:spacing w:before="120"/>
        <w:ind w:left="853" w:right="403"/>
      </w:pPr>
      <w:r>
        <w:rPr>
          <w:color w:val="585858"/>
        </w:rPr>
        <w:t>The involvement of relevant stakeholders in the design of LEAP-RE’s Theory of Change and Impact Pathway (TCIP)</w:t>
      </w:r>
      <w:r>
        <w:rPr>
          <w:color w:val="585858"/>
          <w:vertAlign w:val="superscript"/>
        </w:rPr>
        <w:t>9</w:t>
      </w:r>
      <w:r>
        <w:rPr>
          <w:color w:val="585858"/>
          <w:vertAlign w:val="baseline"/>
        </w:rPr>
        <w:t> is fundamental. While considering the needs of external stakeholders, like end-users, entrepreneurs and decision makers, the consortium members will be able to focus their activities much more effectively and efficiently towards a desired impact.</w:t>
      </w:r>
    </w:p>
    <w:p>
      <w:pPr>
        <w:pStyle w:val="BodyText"/>
      </w:pPr>
    </w:p>
    <w:p>
      <w:pPr>
        <w:pStyle w:val="BodyText"/>
        <w:spacing w:before="3"/>
        <w:rPr>
          <w:sz w:val="17"/>
        </w:rPr>
      </w:pPr>
    </w:p>
    <w:p>
      <w:pPr>
        <w:pStyle w:val="Heading1"/>
        <w:numPr>
          <w:ilvl w:val="1"/>
          <w:numId w:val="1"/>
        </w:numPr>
        <w:tabs>
          <w:tab w:pos="985" w:val="left" w:leader="none"/>
          <w:tab w:pos="986" w:val="left" w:leader="none"/>
        </w:tabs>
        <w:spacing w:line="240" w:lineRule="auto" w:before="0" w:after="0"/>
        <w:ind w:left="985" w:right="0" w:hanging="495"/>
        <w:jc w:val="left"/>
      </w:pPr>
      <w:bookmarkStart w:name="_bookmark5" w:id="12"/>
      <w:bookmarkEnd w:id="12"/>
      <w:r>
        <w:rPr>
          <w:b w:val="0"/>
        </w:rPr>
      </w:r>
      <w:bookmarkStart w:name="_bookmark5" w:id="13"/>
      <w:bookmarkEnd w:id="13"/>
      <w:r>
        <w:rPr>
          <w:color w:val="585858"/>
        </w:rPr>
        <w:t>Th</w:t>
      </w:r>
      <w:r>
        <w:rPr>
          <w:color w:val="585858"/>
        </w:rPr>
        <w:t>e Three Pillars Model and the Consortium Agreement for Budget</w:t>
      </w:r>
      <w:r>
        <w:rPr>
          <w:color w:val="585858"/>
          <w:spacing w:val="-18"/>
        </w:rPr>
        <w:t> </w:t>
      </w:r>
      <w:r>
        <w:rPr>
          <w:color w:val="585858"/>
        </w:rPr>
        <w:t>Allocation</w:t>
      </w:r>
    </w:p>
    <w:p>
      <w:pPr>
        <w:pStyle w:val="BodyText"/>
        <w:spacing w:before="242"/>
        <w:ind w:left="853" w:right="5580"/>
      </w:pPr>
      <w:r>
        <w:rPr/>
        <w:pict>
          <v:shape style="position:absolute;margin-left:297pt;margin-top:22.283621pt;width:263.6pt;height:297pt;mso-position-horizontal-relative:page;mso-position-vertical-relative:paragraph;z-index:1408" type="#_x0000_t202" filled="false" stroked="true" strokeweight="2pt" strokecolor="#00991d">
            <v:textbox inset="0,0,0,0">
              <w:txbxContent>
                <w:p>
                  <w:pPr>
                    <w:spacing w:before="71"/>
                    <w:ind w:left="1445" w:right="136" w:hanging="1289"/>
                    <w:jc w:val="left"/>
                    <w:rPr>
                      <w:b/>
                      <w:sz w:val="22"/>
                    </w:rPr>
                  </w:pPr>
                  <w:r>
                    <w:rPr>
                      <w:b/>
                      <w:color w:val="585858"/>
                      <w:sz w:val="22"/>
                    </w:rPr>
                    <w:t>T</w:t>
                  </w:r>
                  <w:r>
                    <w:rPr>
                      <w:b/>
                      <w:color w:val="585858"/>
                      <w:sz w:val="18"/>
                    </w:rPr>
                    <w:t>HREE HYPOTHETICAL SCENARIOS TO EXPLAIN THE CALCULATION OF THE </w:t>
                  </w:r>
                  <w:r>
                    <w:rPr>
                      <w:b/>
                      <w:color w:val="585858"/>
                      <w:sz w:val="22"/>
                    </w:rPr>
                    <w:t>EC T</w:t>
                  </w:r>
                  <w:r>
                    <w:rPr>
                      <w:b/>
                      <w:color w:val="585858"/>
                      <w:sz w:val="18"/>
                    </w:rPr>
                    <w:t>OP</w:t>
                  </w:r>
                  <w:r>
                    <w:rPr>
                      <w:b/>
                      <w:color w:val="585858"/>
                      <w:sz w:val="22"/>
                    </w:rPr>
                    <w:t>-U</w:t>
                  </w:r>
                  <w:r>
                    <w:rPr>
                      <w:b/>
                      <w:color w:val="585858"/>
                      <w:sz w:val="18"/>
                    </w:rPr>
                    <w:t>P PRINCIPLE</w:t>
                  </w:r>
                  <w:r>
                    <w:rPr>
                      <w:b/>
                      <w:color w:val="585858"/>
                      <w:sz w:val="22"/>
                    </w:rPr>
                    <w:t>:</w:t>
                  </w:r>
                </w:p>
                <w:p>
                  <w:pPr>
                    <w:pStyle w:val="BodyText"/>
                    <w:spacing w:before="121"/>
                    <w:ind w:left="144" w:right="136"/>
                  </w:pPr>
                  <w:r>
                    <w:rPr>
                      <w:b/>
                      <w:color w:val="585858"/>
                    </w:rPr>
                    <w:t>Scenario A: </w:t>
                  </w:r>
                  <w:r>
                    <w:rPr>
                      <w:color w:val="585858"/>
                    </w:rPr>
                    <w:t>The consortium invests 15 Million €, the EC will contribute 15 Million €, so that ½ of LEAP-RE’s budget will be from the EC. The total budget of LEAP- RE would be in this case 30 Million €. The EC will invest their max. possible investment.</w:t>
                  </w:r>
                </w:p>
                <w:p>
                  <w:pPr>
                    <w:spacing w:line="268" w:lineRule="exact" w:before="121"/>
                    <w:ind w:left="144" w:right="0" w:firstLine="0"/>
                    <w:jc w:val="left"/>
                    <w:rPr>
                      <w:sz w:val="22"/>
                    </w:rPr>
                  </w:pPr>
                  <w:r>
                    <w:rPr>
                      <w:b/>
                      <w:color w:val="585858"/>
                      <w:sz w:val="22"/>
                    </w:rPr>
                    <w:t>Scenario B: </w:t>
                  </w:r>
                  <w:r>
                    <w:rPr>
                      <w:color w:val="585858"/>
                      <w:sz w:val="22"/>
                    </w:rPr>
                    <w:t>The consortium invests 30 Million € and</w:t>
                  </w:r>
                </w:p>
                <w:p>
                  <w:pPr>
                    <w:pStyle w:val="BodyText"/>
                    <w:spacing w:line="268" w:lineRule="exact"/>
                    <w:ind w:left="144"/>
                  </w:pPr>
                  <w:r>
                    <w:rPr>
                      <w:color w:val="585858"/>
                    </w:rPr>
                    <w:t>the EC will contribute only 15 Million €, because this is</w:t>
                  </w:r>
                </w:p>
                <w:p>
                  <w:pPr>
                    <w:pStyle w:val="BodyText"/>
                    <w:ind w:left="144"/>
                  </w:pPr>
                  <w:r>
                    <w:rPr>
                      <w:color w:val="585858"/>
                    </w:rPr>
                    <w:t>their threshold. The EC will not invest further 30</w:t>
                  </w:r>
                </w:p>
                <w:p>
                  <w:pPr>
                    <w:pStyle w:val="BodyText"/>
                    <w:ind w:left="144"/>
                  </w:pPr>
                  <w:r>
                    <w:rPr>
                      <w:color w:val="585858"/>
                    </w:rPr>
                    <w:t>Million € in this Scenario B.</w:t>
                  </w:r>
                </w:p>
                <w:p>
                  <w:pPr>
                    <w:pStyle w:val="BodyText"/>
                    <w:spacing w:before="121"/>
                    <w:ind w:left="144" w:right="152"/>
                  </w:pPr>
                  <w:r>
                    <w:rPr>
                      <w:b/>
                      <w:color w:val="585858"/>
                    </w:rPr>
                    <w:t>Scenario C: </w:t>
                  </w:r>
                  <w:r>
                    <w:rPr>
                      <w:color w:val="585858"/>
                    </w:rPr>
                    <w:t>The consortium invests 10 Million €, the EC will contribute 10 Million € Top-Up which is 50% of the whole budget of LEAP-RE. In this case the EC will be below their theoretical max. option of investing up to 15 Million € as Top-Up.</w:t>
                  </w:r>
                </w:p>
                <w:p>
                  <w:pPr>
                    <w:spacing w:line="240" w:lineRule="auto" w:before="121"/>
                    <w:ind w:left="144" w:right="468" w:firstLine="0"/>
                    <w:jc w:val="left"/>
                    <w:rPr>
                      <w:b/>
                      <w:sz w:val="22"/>
                    </w:rPr>
                  </w:pPr>
                  <w:r>
                    <w:rPr>
                      <w:b/>
                      <w:color w:val="585858"/>
                      <w:sz w:val="22"/>
                    </w:rPr>
                    <w:t>… other scenarios are possible too and will be calculated together with the group of contributors (GC).</w:t>
                  </w:r>
                </w:p>
              </w:txbxContent>
            </v:textbox>
            <v:stroke dashstyle="solid"/>
            <w10:wrap type="none"/>
          </v:shape>
        </w:pict>
      </w:r>
      <w:r>
        <w:rPr>
          <w:color w:val="585858"/>
        </w:rPr>
        <w:t>The Grant Agreement (GA) will contain binding statements from the consortium on their own contribution to the LEAP-RE project, including both funding for open calls, sharing the total eligible costs for internal activities, and in-kind contributions even by third parties. In figure 1 ‘Draft LEAP-RE Calculation’ these are steps 1 to</w:t>
      </w:r>
      <w:r>
        <w:rPr>
          <w:color w:val="585858"/>
          <w:spacing w:val="-12"/>
        </w:rPr>
        <w:t> </w:t>
      </w:r>
      <w:r>
        <w:rPr>
          <w:color w:val="585858"/>
        </w:rPr>
        <w:t>3</w:t>
      </w:r>
    </w:p>
    <w:p>
      <w:pPr>
        <w:pStyle w:val="BodyText"/>
        <w:ind w:left="853" w:right="5650"/>
      </w:pPr>
      <w:r>
        <w:rPr>
          <w:color w:val="585858"/>
        </w:rPr>
        <w:t>– 1</w:t>
      </w:r>
      <w:r>
        <w:rPr>
          <w:color w:val="585858"/>
          <w:vertAlign w:val="superscript"/>
        </w:rPr>
        <w:t>st,</w:t>
      </w:r>
      <w:r>
        <w:rPr>
          <w:color w:val="585858"/>
          <w:vertAlign w:val="baseline"/>
        </w:rPr>
        <w:t> an official cost calculation, 2</w:t>
      </w:r>
      <w:r>
        <w:rPr>
          <w:color w:val="585858"/>
          <w:vertAlign w:val="superscript"/>
        </w:rPr>
        <w:t>nd</w:t>
      </w:r>
      <w:r>
        <w:rPr>
          <w:color w:val="585858"/>
          <w:vertAlign w:val="baseline"/>
        </w:rPr>
        <w:t>, the binding contribution commitment of the consortium partners and 3</w:t>
      </w:r>
      <w:r>
        <w:rPr>
          <w:color w:val="585858"/>
          <w:vertAlign w:val="superscript"/>
        </w:rPr>
        <w:t>rd</w:t>
      </w:r>
      <w:r>
        <w:rPr>
          <w:color w:val="585858"/>
          <w:vertAlign w:val="baseline"/>
        </w:rPr>
        <w:t>, the development of a Consortium Agreement (CA). Step 1 and 2 will be an iterative process which would be defined based on the overall funding and contributions and the negotiation with all the consortium members: the funding agencies and contributing institutions and the executors of the internal activities.</w:t>
      </w:r>
    </w:p>
    <w:p>
      <w:pPr>
        <w:pStyle w:val="BodyText"/>
        <w:spacing w:before="120"/>
        <w:ind w:left="853" w:right="5573"/>
      </w:pPr>
      <w:r>
        <w:rPr>
          <w:color w:val="585858"/>
        </w:rPr>
        <w:t>The allocation of the available budget and the use of the EC Top-Up will be outlined in the CA. The available budget consists of the total contributions by the consortium</w:t>
      </w:r>
    </w:p>
    <w:p>
      <w:pPr>
        <w:pStyle w:val="BodyText"/>
        <w:ind w:left="853" w:right="385"/>
      </w:pPr>
      <w:r>
        <w:rPr>
          <w:color w:val="585858"/>
        </w:rPr>
        <w:t>partners to the eligible costs together with the grant contribution by the EC – the EC Top-Up. The EC’s Top-Up is calculated based on the consortium’s contribution with a specific funding quota. The threshold for the EC Top-Up is a max. of 50% of the total eligible costs (direct and indirect) of the</w:t>
      </w:r>
    </w:p>
    <w:p>
      <w:pPr>
        <w:pStyle w:val="BodyText"/>
        <w:ind w:left="853" w:right="612"/>
      </w:pPr>
      <w:r>
        <w:rPr>
          <w:color w:val="585858"/>
        </w:rPr>
        <w:t>project’s budget and limited to a max. of 15 Million €. In the context of the dialogue of the funders, PRE-LEAP-RE will moderate the development of a calculation scenario.</w:t>
      </w:r>
    </w:p>
    <w:p>
      <w:pPr>
        <w:pStyle w:val="BodyText"/>
        <w:spacing w:before="120"/>
        <w:ind w:left="853" w:right="410"/>
      </w:pPr>
      <w:r>
        <w:rPr>
          <w:color w:val="585858"/>
        </w:rPr>
        <w:t>Once the consortium signs the GA and the EC’s Top-Up has been calculated, the LEAP-RE partners are free to decide on the allocation of the EC’s Top-Up. Given the information included in the GA. Preliminary discussion with the EC and detailed reasoning within the consortium members, the consortium is oriented to support a three pillar approach as displayed in the figures below.</w:t>
      </w:r>
    </w:p>
    <w:p>
      <w:pPr>
        <w:pStyle w:val="BodyText"/>
        <w:spacing w:before="7"/>
        <w:rPr>
          <w:sz w:val="15"/>
        </w:rPr>
      </w:pPr>
      <w:r>
        <w:rPr/>
        <w:pict>
          <v:line style="position:absolute;mso-position-horizontal-relative:page;mso-position-vertical-relative:paragraph;z-index:-664;mso-wrap-distance-left:0;mso-wrap-distance-right:0" from="56.664001pt,11.881587pt" to="200.684001pt,11.881587pt" stroked="true" strokeweight=".72003pt" strokecolor="#585858">
            <v:stroke dashstyle="solid"/>
            <w10:wrap type="topAndBottom"/>
          </v:line>
        </w:pict>
      </w:r>
    </w:p>
    <w:p>
      <w:pPr>
        <w:pStyle w:val="BodyText"/>
        <w:spacing w:before="6"/>
        <w:rPr>
          <w:sz w:val="9"/>
        </w:rPr>
      </w:pPr>
    </w:p>
    <w:p>
      <w:pPr>
        <w:spacing w:before="73"/>
        <w:ind w:left="133" w:right="415" w:firstLine="0"/>
        <w:jc w:val="left"/>
        <w:rPr>
          <w:sz w:val="20"/>
        </w:rPr>
      </w:pPr>
      <w:r>
        <w:rPr>
          <w:color w:val="585858"/>
          <w:position w:val="7"/>
          <w:sz w:val="13"/>
        </w:rPr>
        <w:t>8 </w:t>
      </w:r>
      <w:r>
        <w:rPr>
          <w:color w:val="585858"/>
          <w:sz w:val="20"/>
        </w:rPr>
        <w:t>Please have a look with this regards at the draft #3 BP ‘Long-term perspective’ about the LEAP-Coordination-Approach for the network of partners, including research uptake approaches.</w:t>
      </w:r>
    </w:p>
    <w:p>
      <w:pPr>
        <w:spacing w:before="116"/>
        <w:ind w:left="133" w:right="287" w:firstLine="0"/>
        <w:jc w:val="left"/>
        <w:rPr>
          <w:sz w:val="20"/>
        </w:rPr>
      </w:pPr>
      <w:r>
        <w:rPr>
          <w:color w:val="585858"/>
          <w:position w:val="7"/>
          <w:sz w:val="13"/>
        </w:rPr>
        <w:t>9 </w:t>
      </w:r>
      <w:r>
        <w:rPr>
          <w:color w:val="585858"/>
          <w:sz w:val="20"/>
        </w:rPr>
        <w:t>For more information on the Theory of Change and Impact Pathways (TCIP), please refer to the draft #3 BP ‘Long-term perspective’.</w:t>
      </w:r>
    </w:p>
    <w:p>
      <w:pPr>
        <w:spacing w:after="0"/>
        <w:jc w:val="left"/>
        <w:rPr>
          <w:sz w:val="20"/>
        </w:rPr>
        <w:sectPr>
          <w:pgSz w:w="11920" w:h="16850"/>
          <w:pgMar w:header="0" w:footer="805" w:top="960" w:bottom="1360" w:left="1000" w:right="580"/>
        </w:sectPr>
      </w:pPr>
    </w:p>
    <w:p>
      <w:pPr>
        <w:pStyle w:val="BodyText"/>
        <w:spacing w:before="29"/>
        <w:ind w:left="853" w:right="267"/>
        <w:jc w:val="both"/>
      </w:pPr>
      <w:r>
        <w:rPr>
          <w:color w:val="585858"/>
        </w:rPr>
        <w:t>External research funding in open calls could be managed in pillar 1; internal research executed by the LEAP-RE consortium member in pillar 2; and in pillar 3, the management and coordination of the LEAP- RE and capacity building measures. Furthermore, capacity building activities could be also integrated in the first two pillars.</w:t>
      </w:r>
    </w:p>
    <w:p>
      <w:pPr>
        <w:pStyle w:val="BodyText"/>
        <w:spacing w:before="122"/>
        <w:ind w:left="853" w:right="346"/>
      </w:pPr>
      <w:r>
        <w:rPr>
          <w:color w:val="585858"/>
        </w:rPr>
        <w:t>In this three pillar’s scenario, a calculation will be made about the total eligible costs of each pillar and each consortium member’s own financial contribution. The contribution to the total eligible cost will come from the consortium members (i.e. research performing institutions and funding institutions) and the 50% EC’s contribution allocated amongst the pillars.</w:t>
      </w:r>
    </w:p>
    <w:p>
      <w:pPr>
        <w:pStyle w:val="BodyText"/>
        <w:spacing w:before="118"/>
        <w:ind w:left="853" w:right="285"/>
      </w:pPr>
      <w:r>
        <w:rPr>
          <w:color w:val="585858"/>
        </w:rPr>
        <w:t>In the CA, the consortium partners will agree on the allocation of their contribution to the total eligible costs. The share of budget among the three pillars will be agreed and defined, while securing that all management costs will be covered by own and EC’s contribution. Management costs could also be covered partly as in-kind contribution to allow for a larger budget allocation to the other pillars.</w:t>
      </w:r>
    </w:p>
    <w:p>
      <w:pPr>
        <w:pStyle w:val="BodyText"/>
        <w:spacing w:before="122"/>
        <w:ind w:left="853" w:right="504"/>
      </w:pPr>
      <w:r>
        <w:rPr>
          <w:color w:val="585858"/>
        </w:rPr>
        <w:t>The development of the CA will be an internal negotiation process of the consortium, independently from the EC.</w:t>
      </w:r>
    </w:p>
    <w:p>
      <w:pPr>
        <w:pStyle w:val="BodyText"/>
        <w:rPr>
          <w:sz w:val="20"/>
        </w:rPr>
      </w:pPr>
    </w:p>
    <w:p>
      <w:pPr>
        <w:pStyle w:val="BodyText"/>
        <w:rPr>
          <w:sz w:val="20"/>
        </w:rPr>
      </w:pPr>
    </w:p>
    <w:p>
      <w:pPr>
        <w:pStyle w:val="BodyText"/>
        <w:spacing w:before="1"/>
        <w:rPr>
          <w:sz w:val="23"/>
        </w:rPr>
      </w:pPr>
      <w:r>
        <w:rPr/>
        <w:drawing>
          <wp:anchor distT="0" distB="0" distL="0" distR="0" allowOverlap="1" layoutInCell="1" locked="0" behindDoc="0" simplePos="0" relativeHeight="17">
            <wp:simplePos x="0" y="0"/>
            <wp:positionH relativeFrom="page">
              <wp:posOffset>1024921</wp:posOffset>
            </wp:positionH>
            <wp:positionV relativeFrom="paragraph">
              <wp:posOffset>203826</wp:posOffset>
            </wp:positionV>
            <wp:extent cx="4981540" cy="2905125"/>
            <wp:effectExtent l="0" t="0" r="0" b="0"/>
            <wp:wrapTopAndBottom/>
            <wp:docPr id="15" name="image10.png" descr=""/>
            <wp:cNvGraphicFramePr>
              <a:graphicFrameLocks noChangeAspect="1"/>
            </wp:cNvGraphicFramePr>
            <a:graphic>
              <a:graphicData uri="http://schemas.openxmlformats.org/drawingml/2006/picture">
                <pic:pic>
                  <pic:nvPicPr>
                    <pic:cNvPr id="16" name="image10.png"/>
                    <pic:cNvPicPr/>
                  </pic:nvPicPr>
                  <pic:blipFill>
                    <a:blip r:embed="rId23" cstate="print"/>
                    <a:stretch>
                      <a:fillRect/>
                    </a:stretch>
                  </pic:blipFill>
                  <pic:spPr>
                    <a:xfrm>
                      <a:off x="0" y="0"/>
                      <a:ext cx="4981540" cy="2905125"/>
                    </a:xfrm>
                    <a:prstGeom prst="rect">
                      <a:avLst/>
                    </a:prstGeom>
                  </pic:spPr>
                </pic:pic>
              </a:graphicData>
            </a:graphic>
          </wp:anchor>
        </w:drawing>
      </w:r>
    </w:p>
    <w:p>
      <w:pPr>
        <w:pStyle w:val="BodyText"/>
      </w:pPr>
    </w:p>
    <w:p>
      <w:pPr>
        <w:pStyle w:val="BodyText"/>
        <w:spacing w:before="6"/>
        <w:rPr>
          <w:sz w:val="28"/>
        </w:rPr>
      </w:pPr>
    </w:p>
    <w:p>
      <w:pPr>
        <w:pStyle w:val="Heading5"/>
        <w:spacing w:before="1"/>
      </w:pPr>
      <w:r>
        <w:rPr>
          <w:color w:val="585858"/>
        </w:rPr>
        <w:t>Figure 1: Draft LEAP-RE Calculation</w:t>
      </w:r>
    </w:p>
    <w:p>
      <w:pPr>
        <w:spacing w:after="0"/>
        <w:sectPr>
          <w:pgSz w:w="11920" w:h="16850"/>
          <w:pgMar w:header="0" w:footer="805" w:top="960" w:bottom="1360" w:left="1000" w:right="580"/>
        </w:sectPr>
      </w:pPr>
    </w:p>
    <w:p>
      <w:pPr>
        <w:pStyle w:val="BodyText"/>
        <w:ind w:left="869"/>
        <w:rPr>
          <w:sz w:val="20"/>
        </w:rPr>
      </w:pPr>
      <w:r>
        <w:rPr>
          <w:sz w:val="20"/>
        </w:rPr>
        <w:drawing>
          <wp:inline distT="0" distB="0" distL="0" distR="0">
            <wp:extent cx="4952598" cy="2895600"/>
            <wp:effectExtent l="0" t="0" r="0" b="0"/>
            <wp:docPr id="17" name="image11.png" descr=""/>
            <wp:cNvGraphicFramePr>
              <a:graphicFrameLocks noChangeAspect="1"/>
            </wp:cNvGraphicFramePr>
            <a:graphic>
              <a:graphicData uri="http://schemas.openxmlformats.org/drawingml/2006/picture">
                <pic:pic>
                  <pic:nvPicPr>
                    <pic:cNvPr id="18" name="image11.png"/>
                    <pic:cNvPicPr/>
                  </pic:nvPicPr>
                  <pic:blipFill>
                    <a:blip r:embed="rId24" cstate="print"/>
                    <a:stretch>
                      <a:fillRect/>
                    </a:stretch>
                  </pic:blipFill>
                  <pic:spPr>
                    <a:xfrm>
                      <a:off x="0" y="0"/>
                      <a:ext cx="4952598" cy="2895600"/>
                    </a:xfrm>
                    <a:prstGeom prst="rect">
                      <a:avLst/>
                    </a:prstGeom>
                  </pic:spPr>
                </pic:pic>
              </a:graphicData>
            </a:graphic>
          </wp:inline>
        </w:drawing>
      </w:r>
      <w:r>
        <w:rPr>
          <w:sz w:val="20"/>
        </w:rPr>
      </w:r>
    </w:p>
    <w:p>
      <w:pPr>
        <w:pStyle w:val="BodyText"/>
        <w:rPr>
          <w:b/>
          <w:sz w:val="20"/>
        </w:rPr>
      </w:pPr>
    </w:p>
    <w:p>
      <w:pPr>
        <w:pStyle w:val="BodyText"/>
        <w:spacing w:before="11"/>
        <w:rPr>
          <w:b/>
          <w:sz w:val="28"/>
        </w:rPr>
      </w:pPr>
    </w:p>
    <w:p>
      <w:pPr>
        <w:spacing w:before="56"/>
        <w:ind w:left="841" w:right="0" w:firstLine="0"/>
        <w:jc w:val="left"/>
        <w:rPr>
          <w:b/>
          <w:sz w:val="22"/>
        </w:rPr>
      </w:pPr>
      <w:r>
        <w:rPr>
          <w:b/>
          <w:color w:val="585858"/>
          <w:sz w:val="22"/>
        </w:rPr>
        <w:t>Figure 2: Draft Pillar I LEAP-RE</w:t>
      </w:r>
    </w:p>
    <w:p>
      <w:pPr>
        <w:pStyle w:val="BodyText"/>
        <w:rPr>
          <w:b/>
          <w:sz w:val="20"/>
        </w:rPr>
      </w:pPr>
    </w:p>
    <w:p>
      <w:pPr>
        <w:pStyle w:val="BodyText"/>
        <w:rPr>
          <w:b/>
          <w:sz w:val="20"/>
        </w:rPr>
      </w:pPr>
    </w:p>
    <w:p>
      <w:pPr>
        <w:pStyle w:val="BodyText"/>
        <w:rPr>
          <w:b/>
          <w:sz w:val="23"/>
        </w:rPr>
      </w:pPr>
      <w:r>
        <w:rPr/>
        <w:drawing>
          <wp:anchor distT="0" distB="0" distL="0" distR="0" allowOverlap="1" layoutInCell="1" locked="0" behindDoc="0" simplePos="0" relativeHeight="18">
            <wp:simplePos x="0" y="0"/>
            <wp:positionH relativeFrom="page">
              <wp:posOffset>1186863</wp:posOffset>
            </wp:positionH>
            <wp:positionV relativeFrom="paragraph">
              <wp:posOffset>203597</wp:posOffset>
            </wp:positionV>
            <wp:extent cx="5039249" cy="2876550"/>
            <wp:effectExtent l="0" t="0" r="0" b="0"/>
            <wp:wrapTopAndBottom/>
            <wp:docPr id="19" name="image12.png" descr=""/>
            <wp:cNvGraphicFramePr>
              <a:graphicFrameLocks noChangeAspect="1"/>
            </wp:cNvGraphicFramePr>
            <a:graphic>
              <a:graphicData uri="http://schemas.openxmlformats.org/drawingml/2006/picture">
                <pic:pic>
                  <pic:nvPicPr>
                    <pic:cNvPr id="20" name="image12.png"/>
                    <pic:cNvPicPr/>
                  </pic:nvPicPr>
                  <pic:blipFill>
                    <a:blip r:embed="rId25" cstate="print"/>
                    <a:stretch>
                      <a:fillRect/>
                    </a:stretch>
                  </pic:blipFill>
                  <pic:spPr>
                    <a:xfrm>
                      <a:off x="0" y="0"/>
                      <a:ext cx="5039249" cy="2876550"/>
                    </a:xfrm>
                    <a:prstGeom prst="rect">
                      <a:avLst/>
                    </a:prstGeom>
                  </pic:spPr>
                </pic:pic>
              </a:graphicData>
            </a:graphic>
          </wp:anchor>
        </w:drawing>
      </w:r>
    </w:p>
    <w:p>
      <w:pPr>
        <w:pStyle w:val="BodyText"/>
        <w:rPr>
          <w:b/>
        </w:rPr>
      </w:pPr>
    </w:p>
    <w:p>
      <w:pPr>
        <w:pStyle w:val="BodyText"/>
        <w:spacing w:before="3"/>
        <w:rPr>
          <w:b/>
          <w:sz w:val="32"/>
        </w:rPr>
      </w:pPr>
    </w:p>
    <w:p>
      <w:pPr>
        <w:spacing w:before="0"/>
        <w:ind w:left="841" w:right="0" w:firstLine="0"/>
        <w:jc w:val="left"/>
        <w:rPr>
          <w:b/>
          <w:sz w:val="22"/>
        </w:rPr>
      </w:pPr>
      <w:r>
        <w:rPr>
          <w:b/>
          <w:color w:val="585858"/>
          <w:sz w:val="22"/>
        </w:rPr>
        <w:t>Figure 3: Draft Pillar II LEAP-RE</w:t>
      </w:r>
    </w:p>
    <w:p>
      <w:pPr>
        <w:spacing w:after="0"/>
        <w:jc w:val="left"/>
        <w:rPr>
          <w:sz w:val="22"/>
        </w:rPr>
        <w:sectPr>
          <w:pgSz w:w="11920" w:h="16850"/>
          <w:pgMar w:header="0" w:footer="805" w:top="1300" w:bottom="1360" w:left="1000" w:right="580"/>
        </w:sectPr>
      </w:pPr>
    </w:p>
    <w:p>
      <w:pPr>
        <w:pStyle w:val="BodyText"/>
        <w:ind w:left="869"/>
        <w:rPr>
          <w:sz w:val="20"/>
        </w:rPr>
      </w:pPr>
      <w:r>
        <w:rPr>
          <w:sz w:val="20"/>
        </w:rPr>
        <w:drawing>
          <wp:inline distT="0" distB="0" distL="0" distR="0">
            <wp:extent cx="4962123" cy="2876550"/>
            <wp:effectExtent l="0" t="0" r="0" b="0"/>
            <wp:docPr id="21" name="image13.png" descr=""/>
            <wp:cNvGraphicFramePr>
              <a:graphicFrameLocks noChangeAspect="1"/>
            </wp:cNvGraphicFramePr>
            <a:graphic>
              <a:graphicData uri="http://schemas.openxmlformats.org/drawingml/2006/picture">
                <pic:pic>
                  <pic:nvPicPr>
                    <pic:cNvPr id="22" name="image13.png"/>
                    <pic:cNvPicPr/>
                  </pic:nvPicPr>
                  <pic:blipFill>
                    <a:blip r:embed="rId26" cstate="print"/>
                    <a:stretch>
                      <a:fillRect/>
                    </a:stretch>
                  </pic:blipFill>
                  <pic:spPr>
                    <a:xfrm>
                      <a:off x="0" y="0"/>
                      <a:ext cx="4962123" cy="2876550"/>
                    </a:xfrm>
                    <a:prstGeom prst="rect">
                      <a:avLst/>
                    </a:prstGeom>
                  </pic:spPr>
                </pic:pic>
              </a:graphicData>
            </a:graphic>
          </wp:inline>
        </w:drawing>
      </w:r>
      <w:r>
        <w:rPr>
          <w:sz w:val="20"/>
        </w:rPr>
      </w:r>
    </w:p>
    <w:p>
      <w:pPr>
        <w:pStyle w:val="BodyText"/>
        <w:rPr>
          <w:b/>
          <w:sz w:val="20"/>
        </w:rPr>
      </w:pPr>
    </w:p>
    <w:p>
      <w:pPr>
        <w:pStyle w:val="BodyText"/>
        <w:rPr>
          <w:b/>
          <w:sz w:val="20"/>
        </w:rPr>
      </w:pPr>
    </w:p>
    <w:p>
      <w:pPr>
        <w:spacing w:before="195"/>
        <w:ind w:left="841" w:right="0" w:firstLine="0"/>
        <w:jc w:val="left"/>
        <w:rPr>
          <w:b/>
          <w:sz w:val="22"/>
        </w:rPr>
      </w:pPr>
      <w:r>
        <w:rPr>
          <w:b/>
          <w:color w:val="585858"/>
          <w:sz w:val="22"/>
        </w:rPr>
        <w:t>Figure 4: Draft Pillar III LEAP-RE</w:t>
      </w:r>
    </w:p>
    <w:p>
      <w:pPr>
        <w:pStyle w:val="BodyText"/>
        <w:rPr>
          <w:b/>
        </w:rPr>
      </w:pPr>
    </w:p>
    <w:p>
      <w:pPr>
        <w:pStyle w:val="BodyText"/>
        <w:spacing w:before="4"/>
        <w:rPr>
          <w:b/>
          <w:sz w:val="17"/>
        </w:rPr>
      </w:pPr>
    </w:p>
    <w:p>
      <w:pPr>
        <w:pStyle w:val="ListParagraph"/>
        <w:numPr>
          <w:ilvl w:val="1"/>
          <w:numId w:val="1"/>
        </w:numPr>
        <w:tabs>
          <w:tab w:pos="985" w:val="left" w:leader="none"/>
          <w:tab w:pos="986" w:val="left" w:leader="none"/>
        </w:tabs>
        <w:spacing w:line="240" w:lineRule="auto" w:before="0" w:after="0"/>
        <w:ind w:left="985" w:right="0" w:hanging="495"/>
        <w:jc w:val="left"/>
        <w:rPr>
          <w:b/>
          <w:sz w:val="28"/>
        </w:rPr>
      </w:pPr>
      <w:bookmarkStart w:name="_bookmark6" w:id="14"/>
      <w:bookmarkEnd w:id="14"/>
      <w:r>
        <w:rPr/>
      </w:r>
      <w:bookmarkStart w:name="_bookmark6" w:id="15"/>
      <w:bookmarkEnd w:id="15"/>
      <w:r>
        <w:rPr>
          <w:b/>
          <w:color w:val="585858"/>
          <w:sz w:val="28"/>
        </w:rPr>
        <w:t>Eligi</w:t>
      </w:r>
      <w:r>
        <w:rPr>
          <w:b/>
          <w:color w:val="585858"/>
          <w:sz w:val="28"/>
        </w:rPr>
        <w:t>bility Criteria and Funding and Contribution</w:t>
      </w:r>
      <w:r>
        <w:rPr>
          <w:b/>
          <w:color w:val="585858"/>
          <w:spacing w:val="-4"/>
          <w:sz w:val="28"/>
        </w:rPr>
        <w:t> </w:t>
      </w:r>
      <w:r>
        <w:rPr>
          <w:b/>
          <w:color w:val="585858"/>
          <w:sz w:val="28"/>
        </w:rPr>
        <w:t>Regulations</w:t>
      </w:r>
    </w:p>
    <w:p>
      <w:pPr>
        <w:pStyle w:val="BodyText"/>
        <w:spacing w:before="239"/>
        <w:ind w:left="853" w:right="681"/>
      </w:pPr>
      <w:r>
        <w:rPr/>
        <w:pict>
          <v:shape style="position:absolute;margin-left:296.25pt;margin-top:37.403629pt;width:263.9pt;height:144.75pt;mso-position-horizontal-relative:page;mso-position-vertical-relative:paragraph;z-index:1480" type="#_x0000_t202" filled="false" stroked="true" strokeweight="2pt" strokecolor="#00991d">
            <v:textbox inset="0,0,0,0">
              <w:txbxContent>
                <w:p>
                  <w:pPr>
                    <w:spacing w:before="73"/>
                    <w:ind w:left="1797" w:right="0" w:firstLine="0"/>
                    <w:jc w:val="left"/>
                    <w:rPr>
                      <w:b/>
                      <w:sz w:val="18"/>
                    </w:rPr>
                  </w:pPr>
                  <w:r>
                    <w:rPr>
                      <w:b/>
                      <w:color w:val="585858"/>
                      <w:sz w:val="22"/>
                    </w:rPr>
                    <w:t>C</w:t>
                  </w:r>
                  <w:r>
                    <w:rPr>
                      <w:b/>
                      <w:color w:val="585858"/>
                      <w:sz w:val="18"/>
                    </w:rPr>
                    <w:t>ALL </w:t>
                  </w:r>
                  <w:r>
                    <w:rPr>
                      <w:b/>
                      <w:color w:val="585858"/>
                      <w:sz w:val="22"/>
                    </w:rPr>
                    <w:t>R</w:t>
                  </w:r>
                  <w:r>
                    <w:rPr>
                      <w:b/>
                      <w:color w:val="585858"/>
                      <w:sz w:val="18"/>
                    </w:rPr>
                    <w:t>EQUIREMENTS</w:t>
                  </w:r>
                </w:p>
                <w:p>
                  <w:pPr>
                    <w:pStyle w:val="BodyText"/>
                    <w:numPr>
                      <w:ilvl w:val="0"/>
                      <w:numId w:val="7"/>
                    </w:numPr>
                    <w:tabs>
                      <w:tab w:pos="506" w:val="left" w:leader="none"/>
                    </w:tabs>
                    <w:spacing w:line="240" w:lineRule="auto" w:before="120" w:after="0"/>
                    <w:ind w:left="505" w:right="565" w:hanging="360"/>
                    <w:jc w:val="left"/>
                  </w:pPr>
                  <w:r>
                    <w:rPr>
                      <w:color w:val="585858"/>
                    </w:rPr>
                    <w:t>The group of funders jointly defines common eligibility requirements and Individual national funding regulations will also be applied for the open call</w:t>
                  </w:r>
                </w:p>
                <w:p>
                  <w:pPr>
                    <w:pStyle w:val="BodyText"/>
                    <w:numPr>
                      <w:ilvl w:val="0"/>
                      <w:numId w:val="7"/>
                    </w:numPr>
                    <w:tabs>
                      <w:tab w:pos="506" w:val="left" w:leader="none"/>
                    </w:tabs>
                    <w:spacing w:line="240" w:lineRule="auto" w:before="119" w:after="0"/>
                    <w:ind w:left="505" w:right="141" w:hanging="360"/>
                    <w:jc w:val="left"/>
                  </w:pPr>
                  <w:r>
                    <w:rPr>
                      <w:color w:val="585858"/>
                    </w:rPr>
                    <w:t>In order to carry out the internal activities, LEAP-RE criteria will also be defined by the consortium members. Compliance with the GA will be also guaranteed</w:t>
                  </w:r>
                </w:p>
              </w:txbxContent>
            </v:textbox>
            <v:stroke dashstyle="solid"/>
            <w10:wrap type="none"/>
          </v:shape>
        </w:pict>
      </w:r>
      <w:r>
        <w:rPr>
          <w:color w:val="585858"/>
        </w:rPr>
        <w:t>Depending on the agreements of the group of funders, common eligibility criteria and funding and contribution regulations will have to be</w:t>
      </w:r>
    </w:p>
    <w:p>
      <w:pPr>
        <w:pStyle w:val="BodyText"/>
        <w:spacing w:before="1"/>
        <w:ind w:left="853" w:right="5893"/>
      </w:pPr>
      <w:r>
        <w:rPr>
          <w:color w:val="585858"/>
        </w:rPr>
        <w:t>defined by the consortium members for each pillar. These common funding and contribution regulations will be complemented by (national) eligibility criteria and funding and contribution regulations.</w:t>
      </w:r>
    </w:p>
    <w:p>
      <w:pPr>
        <w:spacing w:before="119"/>
        <w:ind w:left="853" w:right="5687" w:firstLine="0"/>
        <w:jc w:val="left"/>
        <w:rPr>
          <w:sz w:val="22"/>
        </w:rPr>
      </w:pPr>
      <w:r>
        <w:rPr>
          <w:b/>
          <w:color w:val="585858"/>
          <w:sz w:val="22"/>
        </w:rPr>
        <w:t>For the open call (pillar I - see paragraph Distribution of Funds for Open Calls for Research Proposals and other Activities )</w:t>
      </w:r>
      <w:r>
        <w:rPr>
          <w:color w:val="585858"/>
          <w:sz w:val="22"/>
        </w:rPr>
        <w:t>, in the (national) eligibility criteria and funding and contribution regulations, the</w:t>
      </w:r>
    </w:p>
    <w:p>
      <w:pPr>
        <w:pStyle w:val="BodyText"/>
        <w:spacing w:before="2"/>
        <w:ind w:left="853" w:right="410"/>
      </w:pPr>
      <w:r>
        <w:rPr>
          <w:color w:val="585858"/>
        </w:rPr>
        <w:t>contributors will define, who can apply to the call, what type of costs are eligible for funding, upper funding limits for the eligible costs per project, any additional requirements and contact data of information points and link(s) to website(s) with information and documents on eligibility criteria and funding regulations.</w:t>
      </w:r>
    </w:p>
    <w:p>
      <w:pPr>
        <w:spacing w:before="118"/>
        <w:ind w:left="853" w:right="448" w:firstLine="0"/>
        <w:jc w:val="both"/>
        <w:rPr>
          <w:sz w:val="22"/>
        </w:rPr>
      </w:pPr>
      <w:r>
        <w:rPr>
          <w:b/>
          <w:color w:val="585858"/>
          <w:sz w:val="22"/>
        </w:rPr>
        <w:t>For the internal activities and the management of the project (Pillar II and Pillar III – see paragraph 10)</w:t>
      </w:r>
      <w:r>
        <w:rPr>
          <w:color w:val="585858"/>
          <w:sz w:val="22"/>
        </w:rPr>
        <w:t>, the consortium may also define internal criteria for enforcing the AU-EU sharing of responsibility and joint research, the inclusion of young research and gender equity.</w:t>
      </w:r>
    </w:p>
    <w:p>
      <w:pPr>
        <w:pStyle w:val="BodyText"/>
      </w:pPr>
    </w:p>
    <w:p>
      <w:pPr>
        <w:pStyle w:val="BodyText"/>
        <w:spacing w:before="5"/>
        <w:rPr>
          <w:sz w:val="17"/>
        </w:rPr>
      </w:pPr>
    </w:p>
    <w:p>
      <w:pPr>
        <w:pStyle w:val="Heading1"/>
        <w:numPr>
          <w:ilvl w:val="1"/>
          <w:numId w:val="1"/>
        </w:numPr>
        <w:tabs>
          <w:tab w:pos="985" w:val="left" w:leader="none"/>
          <w:tab w:pos="986" w:val="left" w:leader="none"/>
        </w:tabs>
        <w:spacing w:line="240" w:lineRule="auto" w:before="1" w:after="0"/>
        <w:ind w:left="985" w:right="1281" w:hanging="495"/>
        <w:jc w:val="left"/>
      </w:pPr>
      <w:bookmarkStart w:name="_bookmark7" w:id="16"/>
      <w:bookmarkEnd w:id="16"/>
      <w:r>
        <w:rPr>
          <w:b w:val="0"/>
        </w:rPr>
      </w:r>
      <w:bookmarkStart w:name="_bookmark7" w:id="17"/>
      <w:bookmarkEnd w:id="17"/>
      <w:r>
        <w:rPr>
          <w:color w:val="585858"/>
        </w:rPr>
        <w:t>D</w:t>
      </w:r>
      <w:r>
        <w:rPr>
          <w:color w:val="585858"/>
        </w:rPr>
        <w:t>istribution of Funds for Open Calls for Research Proposals and other Activities</w:t>
      </w:r>
    </w:p>
    <w:p>
      <w:pPr>
        <w:spacing w:after="0" w:line="240" w:lineRule="auto"/>
        <w:jc w:val="left"/>
        <w:sectPr>
          <w:pgSz w:w="11920" w:h="16850"/>
          <w:pgMar w:header="0" w:footer="805" w:top="1300" w:bottom="1360" w:left="1000" w:right="580"/>
        </w:sectPr>
      </w:pPr>
    </w:p>
    <w:p>
      <w:pPr>
        <w:pStyle w:val="BodyText"/>
        <w:spacing w:before="29"/>
        <w:ind w:left="853" w:right="294"/>
      </w:pPr>
      <w:r>
        <w:rPr>
          <w:color w:val="585858"/>
        </w:rPr>
        <w:t>Ministries, public funding agencies, public and private research institutions and other actors from the private sector are already or could be interested in contributing their resources in LEAP-RE activities. With the LEAP-RE RIA, the inclusion of the investments of also research institutions and private players will make a difference in the collaboration in R&amp;I and HICB from the past, and make a further step towards a closer bi-continental collaboration in RE.</w:t>
      </w:r>
    </w:p>
    <w:p>
      <w:pPr>
        <w:pStyle w:val="BodyText"/>
        <w:spacing w:before="122"/>
        <w:ind w:left="853" w:right="262"/>
      </w:pPr>
      <w:r>
        <w:rPr>
          <w:color w:val="585858"/>
        </w:rPr>
        <w:t>Public funding institutions can contribute to the PRE-LEAP-RE in different ways. In the open call in Pillar I, according to their national regulations, they can support national researchers and innovators in a transnational collaboration environment. They could also contribute to the activities in Pillar II which are of common interest and e.g. in building a long-term infrastructure and mechanism for maintaining the collaborative network.</w:t>
      </w:r>
    </w:p>
    <w:p>
      <w:pPr>
        <w:pStyle w:val="BodyText"/>
        <w:spacing w:before="119"/>
        <w:ind w:left="853" w:right="345"/>
      </w:pPr>
      <w:r>
        <w:rPr>
          <w:color w:val="585858"/>
        </w:rPr>
        <w:t>Research institutions and private players might not only being interested in developing projects and applying for funds in the open call in Pillar I. They might be interested in the activities within Pillar II as R&amp;I or capacity building activities could be funded at 50%. There might also be an interest, according to some specific internal regulation, to contribute to Pillar I as funders. For the Research institutions that will not be partner, there might be the option to participate to the open calls as implementing agencies.</w:t>
      </w:r>
    </w:p>
    <w:p>
      <w:pPr>
        <w:pStyle w:val="BodyText"/>
        <w:spacing w:before="122"/>
        <w:ind w:left="853" w:right="329"/>
      </w:pPr>
      <w:r>
        <w:rPr>
          <w:color w:val="585858"/>
        </w:rPr>
        <w:t>Engagement and co-investment with private sector in general could be beneficial for identifying need- oriented R&amp;I priorities and addresses earliest stages of innovation. Their engagement can be in Pillar II and, for some of them who wish to fund third parties research or capacity building activities, even Pillar I.</w:t>
      </w:r>
    </w:p>
    <w:p>
      <w:pPr>
        <w:pStyle w:val="BodyText"/>
        <w:spacing w:before="119"/>
        <w:ind w:left="853" w:right="516"/>
      </w:pPr>
      <w:r>
        <w:rPr>
          <w:color w:val="585858"/>
        </w:rPr>
        <w:t>The effectiveness of the whole LEAP-RE project and projects funded by LEAP-RE, would be improved by also raising the chances of commercial success while including private sector actors.</w:t>
      </w:r>
    </w:p>
    <w:p>
      <w:pPr>
        <w:pStyle w:val="BodyText"/>
        <w:spacing w:before="120"/>
        <w:ind w:left="853" w:right="525"/>
      </w:pPr>
      <w:r>
        <w:rPr>
          <w:color w:val="585858"/>
        </w:rPr>
        <w:t>For meeting the needs and requirements of the private sector, its actors should be involved in formulating the Multi-Annual Roadmaps, which should support the strategy and planning of technology development by aligning innovation targets with knowledge and resource requirements.</w:t>
      </w:r>
    </w:p>
    <w:p>
      <w:pPr>
        <w:pStyle w:val="BodyText"/>
        <w:spacing w:before="5"/>
        <w:rPr>
          <w:sz w:val="16"/>
        </w:rPr>
      </w:pPr>
    </w:p>
    <w:p>
      <w:pPr>
        <w:pStyle w:val="Heading3"/>
      </w:pPr>
      <w:bookmarkStart w:name="_bookmark8" w:id="18"/>
      <w:bookmarkEnd w:id="18"/>
      <w:r>
        <w:rPr>
          <w:b w:val="0"/>
        </w:rPr>
      </w:r>
      <w:r>
        <w:rPr>
          <w:color w:val="585858"/>
        </w:rPr>
        <w:t>Funding Pots - Experience from the ERA Learn Platform</w:t>
      </w:r>
    </w:p>
    <w:p>
      <w:pPr>
        <w:pStyle w:val="BodyText"/>
        <w:spacing w:before="120"/>
        <w:ind w:left="853" w:right="289"/>
      </w:pPr>
      <w:r>
        <w:rPr>
          <w:color w:val="585858"/>
        </w:rPr>
        <w:t>The ERA Learn Platform highlighted three potential options that could be used for distribution of funds in particular in a joint call management</w:t>
      </w:r>
      <w:r>
        <w:rPr>
          <w:color w:val="585858"/>
          <w:vertAlign w:val="superscript"/>
        </w:rPr>
        <w:t>10</w:t>
      </w:r>
      <w:r>
        <w:rPr>
          <w:color w:val="585858"/>
          <w:vertAlign w:val="baseline"/>
        </w:rPr>
        <w:t>:</w:t>
      </w:r>
    </w:p>
    <w:p>
      <w:pPr>
        <w:pStyle w:val="ListParagraph"/>
        <w:numPr>
          <w:ilvl w:val="0"/>
          <w:numId w:val="8"/>
        </w:numPr>
        <w:tabs>
          <w:tab w:pos="1213" w:val="left" w:leader="none"/>
          <w:tab w:pos="1214" w:val="left" w:leader="none"/>
        </w:tabs>
        <w:spacing w:line="240" w:lineRule="auto" w:before="120" w:after="0"/>
        <w:ind w:left="1213" w:right="728" w:hanging="360"/>
        <w:jc w:val="left"/>
        <w:rPr>
          <w:sz w:val="22"/>
        </w:rPr>
      </w:pPr>
      <w:r>
        <w:rPr>
          <w:color w:val="585858"/>
          <w:sz w:val="22"/>
        </w:rPr>
        <w:t>A virtual common pot: participating national funders distributing funding directly to their own national / regional</w:t>
      </w:r>
      <w:r>
        <w:rPr>
          <w:color w:val="585858"/>
          <w:spacing w:val="-3"/>
          <w:sz w:val="22"/>
        </w:rPr>
        <w:t> </w:t>
      </w:r>
      <w:r>
        <w:rPr>
          <w:color w:val="585858"/>
          <w:sz w:val="22"/>
        </w:rPr>
        <w:t>applicants;</w:t>
      </w:r>
    </w:p>
    <w:p>
      <w:pPr>
        <w:pStyle w:val="ListParagraph"/>
        <w:numPr>
          <w:ilvl w:val="0"/>
          <w:numId w:val="8"/>
        </w:numPr>
        <w:tabs>
          <w:tab w:pos="1213" w:val="left" w:leader="none"/>
          <w:tab w:pos="1214" w:val="left" w:leader="none"/>
        </w:tabs>
        <w:spacing w:line="240" w:lineRule="auto" w:before="121" w:after="0"/>
        <w:ind w:left="1213" w:right="398" w:hanging="360"/>
        <w:jc w:val="left"/>
        <w:rPr>
          <w:sz w:val="22"/>
        </w:rPr>
      </w:pPr>
      <w:r>
        <w:rPr>
          <w:color w:val="585858"/>
          <w:sz w:val="22"/>
        </w:rPr>
        <w:t>A real common pot: participating national funders provide their financial contribution to a central unit, which then distributes funding to project</w:t>
      </w:r>
      <w:r>
        <w:rPr>
          <w:color w:val="585858"/>
          <w:spacing w:val="-6"/>
          <w:sz w:val="22"/>
        </w:rPr>
        <w:t> </w:t>
      </w:r>
      <w:r>
        <w:rPr>
          <w:color w:val="585858"/>
          <w:sz w:val="22"/>
        </w:rPr>
        <w:t>consortia;</w:t>
      </w:r>
    </w:p>
    <w:p>
      <w:pPr>
        <w:pStyle w:val="ListParagraph"/>
        <w:numPr>
          <w:ilvl w:val="0"/>
          <w:numId w:val="8"/>
        </w:numPr>
        <w:tabs>
          <w:tab w:pos="1213" w:val="left" w:leader="none"/>
          <w:tab w:pos="1214" w:val="left" w:leader="none"/>
        </w:tabs>
        <w:spacing w:line="240" w:lineRule="auto" w:before="119" w:after="0"/>
        <w:ind w:left="1213" w:right="397" w:hanging="360"/>
        <w:jc w:val="left"/>
        <w:rPr>
          <w:sz w:val="22"/>
        </w:rPr>
      </w:pPr>
      <w:r>
        <w:rPr>
          <w:color w:val="585858"/>
          <w:sz w:val="22"/>
        </w:rPr>
        <w:t>A mixed funding pot: part of the call budget is spent as a virtual common pot, and part with a real common</w:t>
      </w:r>
      <w:r>
        <w:rPr>
          <w:color w:val="585858"/>
          <w:spacing w:val="-1"/>
          <w:sz w:val="22"/>
        </w:rPr>
        <w:t> </w:t>
      </w:r>
      <w:r>
        <w:rPr>
          <w:color w:val="585858"/>
          <w:sz w:val="22"/>
        </w:rPr>
        <w:t>pot.</w:t>
      </w:r>
    </w:p>
    <w:p>
      <w:pPr>
        <w:pStyle w:val="BodyText"/>
        <w:spacing w:before="120"/>
        <w:ind w:left="853" w:right="322"/>
      </w:pPr>
      <w:r>
        <w:rPr>
          <w:color w:val="585858"/>
        </w:rPr>
        <w:t>These options should be considered by the Consortium, and a selection made for each of the pillars’ budgets in the project. It seems to be likely that the LEAP-RE consortium will agree on a mixed funding pot.</w:t>
      </w:r>
    </w:p>
    <w:p>
      <w:pPr>
        <w:pStyle w:val="BodyText"/>
        <w:spacing w:before="5"/>
        <w:rPr>
          <w:sz w:val="16"/>
        </w:rPr>
      </w:pPr>
    </w:p>
    <w:p>
      <w:pPr>
        <w:pStyle w:val="Heading3"/>
      </w:pPr>
      <w:bookmarkStart w:name="_bookmark9" w:id="19"/>
      <w:bookmarkEnd w:id="19"/>
      <w:r>
        <w:rPr>
          <w:b w:val="0"/>
        </w:rPr>
      </w:r>
      <w:r>
        <w:rPr>
          <w:color w:val="585858"/>
        </w:rPr>
        <w:t>Pillar II - Selected Co-funded Research at 50%</w:t>
      </w:r>
    </w:p>
    <w:p>
      <w:pPr>
        <w:pStyle w:val="BodyText"/>
        <w:spacing w:before="119"/>
        <w:ind w:left="853" w:right="319"/>
      </w:pPr>
      <w:r>
        <w:rPr>
          <w:color w:val="585858"/>
        </w:rPr>
        <w:t>This is the most common funding mode for co-funded research projects by research performing institutions and private players. All participating organizations will contribute to the eligible total cost of an agreed specific action. The PRE-LEAP-RE consortium may decide to share joint effort for research and capacity building in order to encourage more joint AU-EU actions.</w:t>
      </w:r>
    </w:p>
    <w:p>
      <w:pPr>
        <w:pStyle w:val="BodyText"/>
        <w:spacing w:before="122"/>
        <w:ind w:left="853"/>
      </w:pPr>
      <w:r>
        <w:rPr>
          <w:color w:val="585858"/>
        </w:rPr>
        <w:t>This funding mode enables experienced research institutions and private players with experience in</w:t>
      </w:r>
    </w:p>
    <w:p>
      <w:pPr>
        <w:pStyle w:val="BodyText"/>
        <w:spacing w:before="11"/>
        <w:rPr>
          <w:sz w:val="14"/>
        </w:rPr>
      </w:pPr>
      <w:r>
        <w:rPr/>
        <w:pict>
          <v:line style="position:absolute;mso-position-horizontal-relative:page;mso-position-vertical-relative:paragraph;z-index:-544;mso-wrap-distance-left:0;mso-wrap-distance-right:0" from="56.664001pt,11.454781pt" to="200.684001pt,11.454781pt" stroked="true" strokeweight=".71997pt" strokecolor="#585858">
            <v:stroke dashstyle="solid"/>
            <w10:wrap type="topAndBottom"/>
          </v:line>
        </w:pict>
      </w:r>
    </w:p>
    <w:p>
      <w:pPr>
        <w:pStyle w:val="BodyText"/>
        <w:spacing w:before="6"/>
        <w:rPr>
          <w:sz w:val="9"/>
        </w:rPr>
      </w:pPr>
    </w:p>
    <w:p>
      <w:pPr>
        <w:spacing w:before="73"/>
        <w:ind w:left="133" w:right="645" w:firstLine="0"/>
        <w:jc w:val="left"/>
        <w:rPr>
          <w:sz w:val="20"/>
        </w:rPr>
      </w:pPr>
      <w:r>
        <w:rPr>
          <w:color w:val="585858"/>
          <w:position w:val="7"/>
          <w:sz w:val="13"/>
        </w:rPr>
        <w:t>10 </w:t>
      </w:r>
      <w:r>
        <w:rPr>
          <w:color w:val="585858"/>
          <w:sz w:val="20"/>
        </w:rPr>
        <w:t>Source: </w:t>
      </w:r>
      <w:hyperlink r:id="rId27">
        <w:r>
          <w:rPr>
            <w:color w:val="0000FF"/>
            <w:sz w:val="20"/>
            <w:u w:val="single" w:color="0000FF"/>
          </w:rPr>
          <w:t>https://www.era-learn.eu/support-for-p2ps/implementing-joint-calls/funding-of-projects/distribution-and-</w:t>
        </w:r>
      </w:hyperlink>
      <w:r>
        <w:rPr>
          <w:color w:val="0000FF"/>
          <w:sz w:val="20"/>
        </w:rPr>
        <w:t> </w:t>
      </w:r>
      <w:hyperlink r:id="rId27">
        <w:r>
          <w:rPr>
            <w:color w:val="0000FF"/>
            <w:sz w:val="20"/>
            <w:u w:val="single" w:color="0000FF"/>
          </w:rPr>
          <w:t>monitoring-of-funds</w:t>
        </w:r>
      </w:hyperlink>
    </w:p>
    <w:p>
      <w:pPr>
        <w:spacing w:after="0"/>
        <w:jc w:val="left"/>
        <w:rPr>
          <w:sz w:val="20"/>
        </w:rPr>
        <w:sectPr>
          <w:pgSz w:w="11920" w:h="16850"/>
          <w:pgMar w:header="0" w:footer="805" w:top="960" w:bottom="1360" w:left="1000" w:right="580"/>
        </w:sectPr>
      </w:pPr>
    </w:p>
    <w:p>
      <w:pPr>
        <w:pStyle w:val="BodyText"/>
        <w:spacing w:before="29"/>
        <w:ind w:left="853"/>
      </w:pPr>
      <w:r>
        <w:rPr>
          <w:color w:val="585858"/>
        </w:rPr>
        <w:t>R&amp;I and capacity building to invest and participate in the RIA.</w:t>
      </w:r>
    </w:p>
    <w:p>
      <w:pPr>
        <w:pStyle w:val="BodyText"/>
        <w:spacing w:before="121"/>
        <w:ind w:left="853" w:right="267"/>
      </w:pPr>
      <w:r>
        <w:rPr>
          <w:color w:val="585858"/>
        </w:rPr>
        <w:t>The consortium may decide to define a threshold of minimum commitment for the research institutions and private players to become partners in the RIA in order to avoid a huge and un- manageable consortium. The threshold could be defined on an annual base i.e € 100.000, which makes a total of € 500.000 in 5 years in LEAP-RE.</w:t>
      </w:r>
    </w:p>
    <w:p>
      <w:pPr>
        <w:pStyle w:val="BodyText"/>
        <w:spacing w:before="121"/>
        <w:ind w:left="853" w:right="349"/>
      </w:pPr>
      <w:r>
        <w:rPr>
          <w:color w:val="585858"/>
        </w:rPr>
        <w:t>Each research institution and private player will have to commit their contribution in the GA as well as in the CA together with the envisaged research and capacity building activities. With the signature in the GA and the CA the contributors will give a legally binding commitment.</w:t>
      </w:r>
    </w:p>
    <w:p>
      <w:pPr>
        <w:pStyle w:val="BodyText"/>
        <w:spacing w:before="118"/>
        <w:ind w:left="853" w:right="497"/>
      </w:pPr>
      <w:r>
        <w:rPr>
          <w:color w:val="585858"/>
        </w:rPr>
        <w:t>With the EU-Top UP, administrative measures like financial accounting and reporting needs could be covered.</w:t>
      </w:r>
    </w:p>
    <w:p>
      <w:pPr>
        <w:pStyle w:val="BodyText"/>
        <w:spacing w:before="121"/>
        <w:ind w:left="853" w:right="503"/>
      </w:pPr>
      <w:r>
        <w:rPr>
          <w:color w:val="585858"/>
        </w:rPr>
        <w:t>One activity the stakeholders may wish to invest in could be the development of principles, mechanism as a guideline and infrastructure for future CoSEs, from which all actors will benefit after LEAP-RE.</w:t>
      </w:r>
    </w:p>
    <w:p>
      <w:pPr>
        <w:pStyle w:val="BodyText"/>
        <w:spacing w:before="5"/>
        <w:rPr>
          <w:sz w:val="16"/>
        </w:rPr>
      </w:pPr>
    </w:p>
    <w:p>
      <w:pPr>
        <w:pStyle w:val="Heading3"/>
      </w:pPr>
      <w:bookmarkStart w:name="_bookmark10" w:id="20"/>
      <w:bookmarkEnd w:id="20"/>
      <w:r>
        <w:rPr>
          <w:b w:val="0"/>
        </w:rPr>
      </w:r>
      <w:r>
        <w:rPr>
          <w:color w:val="404040"/>
        </w:rPr>
        <w:t>Venture capital for R&amp;I could rise interest</w:t>
      </w:r>
    </w:p>
    <w:p>
      <w:pPr>
        <w:pStyle w:val="BodyText"/>
        <w:spacing w:before="120"/>
        <w:ind w:left="853" w:right="325"/>
      </w:pPr>
      <w:r>
        <w:rPr>
          <w:color w:val="585858"/>
        </w:rPr>
        <w:t>The development of revolving funds for R&amp;I on different geographical levels could be considered as an option too. This would mean the establishment of a fund addressing the need of researchers and innovators for venture capital. This venture capital will have to be re-transferred to the fund at a later stage. This could create on the long run a constant loop for innovation funding. This fund could be managed on the long run by the CoSE.</w:t>
      </w:r>
    </w:p>
    <w:p>
      <w:pPr>
        <w:pStyle w:val="BodyText"/>
      </w:pPr>
    </w:p>
    <w:p>
      <w:pPr>
        <w:pStyle w:val="BodyText"/>
        <w:spacing w:before="5"/>
        <w:rPr>
          <w:sz w:val="17"/>
        </w:rPr>
      </w:pPr>
    </w:p>
    <w:p>
      <w:pPr>
        <w:pStyle w:val="Heading1"/>
        <w:numPr>
          <w:ilvl w:val="1"/>
          <w:numId w:val="1"/>
        </w:numPr>
        <w:tabs>
          <w:tab w:pos="985" w:val="left" w:leader="none"/>
          <w:tab w:pos="986" w:val="left" w:leader="none"/>
        </w:tabs>
        <w:spacing w:line="240" w:lineRule="auto" w:before="1" w:after="0"/>
        <w:ind w:left="985" w:right="0" w:hanging="495"/>
        <w:jc w:val="left"/>
      </w:pPr>
      <w:bookmarkStart w:name="_bookmark11" w:id="21"/>
      <w:bookmarkEnd w:id="21"/>
      <w:r>
        <w:rPr>
          <w:b w:val="0"/>
        </w:rPr>
      </w:r>
      <w:bookmarkStart w:name="_bookmark11" w:id="22"/>
      <w:bookmarkEnd w:id="22"/>
      <w:r>
        <w:rPr>
          <w:color w:val="585858"/>
        </w:rPr>
        <w:t>Stake</w:t>
      </w:r>
      <w:r>
        <w:rPr>
          <w:color w:val="585858"/>
        </w:rPr>
        <w:t>holders Involvement – the Quadruple Helix</w:t>
      </w:r>
      <w:r>
        <w:rPr>
          <w:color w:val="585858"/>
          <w:spacing w:val="-5"/>
        </w:rPr>
        <w:t> </w:t>
      </w:r>
      <w:r>
        <w:rPr>
          <w:color w:val="585858"/>
        </w:rPr>
        <w:t>Approach</w:t>
      </w:r>
    </w:p>
    <w:p>
      <w:pPr>
        <w:pStyle w:val="BodyText"/>
        <w:spacing w:before="238"/>
        <w:ind w:left="853" w:right="284"/>
      </w:pPr>
      <w:r>
        <w:rPr>
          <w:color w:val="585858"/>
        </w:rPr>
        <w:t>The opportunity for designing and deploying an integrated R&amp;I framework for RE in developing economies shall be driven by key factors such as population and economic growth, energy demand growth and a growing share of clean power targets in the regional energy mix. The latter reflects a need to secure on energy security and improve economics relative to fossil fuels costs in some regions.</w:t>
      </w:r>
    </w:p>
    <w:p>
      <w:pPr>
        <w:pStyle w:val="BodyText"/>
        <w:spacing w:before="121"/>
        <w:ind w:left="853" w:right="287"/>
      </w:pPr>
      <w:r>
        <w:rPr>
          <w:color w:val="585858"/>
        </w:rPr>
        <w:t>Additionally, RE is now widely recognised as one of the most economical ways of addressing climate change and many countries have established energy efficiency targets. Energy is critical to solving the climate change challenge and is also the fuel powering our economies and the society. Transportation, industry and households consume energy in the form of electricity or fuel, produced from different renewable and fossil fuel sources and delivered through an array of infrastructures built and operated by many actors. Over the past decade, technology innovation and a favorable policy environment have transformed the energy landscape but effort still needs to be put.</w:t>
      </w:r>
    </w:p>
    <w:p>
      <w:pPr>
        <w:pStyle w:val="BodyText"/>
        <w:spacing w:before="120"/>
        <w:ind w:left="853" w:right="309"/>
      </w:pPr>
      <w:r>
        <w:rPr>
          <w:color w:val="585858"/>
        </w:rPr>
        <w:t>Funding in R&amp;I activities in RE falls short of what is required to effectively accelerate innovation, and large investments in breakthrough technologies for sustainable energy innovation comes with risks that are greater than what countries or the private sector can undertake. Thus, an international and independently managed scheme that manages R&amp;I funding from interested countries, as well as from the private sector, could potentially have significant impact if well designed and supported by a critical mass of stakeholders.</w:t>
      </w:r>
    </w:p>
    <w:p>
      <w:pPr>
        <w:pStyle w:val="BodyText"/>
        <w:spacing w:before="119"/>
        <w:ind w:left="853" w:right="363"/>
      </w:pPr>
      <w:r>
        <w:rPr>
          <w:color w:val="585858"/>
        </w:rPr>
        <w:t>The Quadruple Helix plays role in Research and Innovation as it is nowadays more and more envisaged. This approach was also a mainstay of the PRE-LEAP-RE project proposal and the benefit for each stakeholder are included in table 1. For this reason, as already highlighted in paragraph 2</w:t>
      </w:r>
    </w:p>
    <w:p>
      <w:pPr>
        <w:pStyle w:val="BodyText"/>
        <w:spacing w:before="1"/>
        <w:ind w:left="853" w:right="674"/>
      </w:pPr>
      <w:r>
        <w:rPr>
          <w:color w:val="585858"/>
        </w:rPr>
        <w:t>‘Contributor’s Networks’ and taking profit of the RIA scheme, research performing institutions and private players will be contributing partners within the LEAP-RE consortium.</w:t>
      </w:r>
    </w:p>
    <w:p>
      <w:pPr>
        <w:pStyle w:val="BodyText"/>
        <w:spacing w:before="121"/>
        <w:ind w:left="853"/>
      </w:pPr>
      <w:r>
        <w:rPr>
          <w:color w:val="585858"/>
        </w:rPr>
        <w:t>This approach is in line with that is requested to enable an inclusive innovation eco-system.</w:t>
      </w:r>
    </w:p>
    <w:p>
      <w:pPr>
        <w:pStyle w:val="BodyText"/>
        <w:spacing w:before="120"/>
        <w:ind w:left="853" w:right="444"/>
      </w:pPr>
      <w:r>
        <w:rPr>
          <w:color w:val="585858"/>
        </w:rPr>
        <w:t>Indeed, an effective innovation ecosystem therefore enables entrepreneurs, companies, universities, research institutions, investors and government agencies to interact effectively to maximise the</w:t>
      </w:r>
    </w:p>
    <w:p>
      <w:pPr>
        <w:spacing w:after="0"/>
        <w:sectPr>
          <w:pgSz w:w="11920" w:h="16850"/>
          <w:pgMar w:header="0" w:footer="805" w:top="960" w:bottom="1360" w:left="1000" w:right="580"/>
        </w:sectPr>
      </w:pPr>
    </w:p>
    <w:p>
      <w:pPr>
        <w:pStyle w:val="BodyText"/>
        <w:spacing w:before="29"/>
        <w:ind w:left="853"/>
      </w:pPr>
      <w:r>
        <w:rPr>
          <w:color w:val="585858"/>
        </w:rPr>
        <w:t>economic impact and potential of their research and innovation.</w:t>
      </w:r>
    </w:p>
    <w:p>
      <w:pPr>
        <w:pStyle w:val="BodyText"/>
        <w:spacing w:before="121"/>
        <w:ind w:left="853" w:right="421"/>
      </w:pPr>
      <w:r>
        <w:rPr>
          <w:color w:val="585858"/>
        </w:rPr>
        <w:t>Thinking about the innovation ecosystem in this way suggests some important features that lie at the heart of why and how the innovation ecosystem is a useful focus:</w:t>
      </w:r>
    </w:p>
    <w:p>
      <w:pPr>
        <w:pStyle w:val="BodyText"/>
        <w:spacing w:before="121"/>
        <w:ind w:left="853"/>
      </w:pPr>
      <w:r>
        <w:rPr>
          <w:color w:val="585858"/>
        </w:rPr>
        <w:t>An ecosystem is …</w:t>
      </w:r>
    </w:p>
    <w:p>
      <w:pPr>
        <w:pStyle w:val="ListParagraph"/>
        <w:numPr>
          <w:ilvl w:val="0"/>
          <w:numId w:val="9"/>
        </w:numPr>
        <w:tabs>
          <w:tab w:pos="1410" w:val="left" w:leader="none"/>
        </w:tabs>
        <w:spacing w:line="240" w:lineRule="auto" w:before="120" w:after="0"/>
        <w:ind w:left="1410" w:right="273" w:hanging="358"/>
        <w:jc w:val="left"/>
        <w:rPr>
          <w:sz w:val="22"/>
        </w:rPr>
      </w:pPr>
      <w:r>
        <w:rPr>
          <w:color w:val="585858"/>
          <w:sz w:val="22"/>
        </w:rPr>
        <w:t>dynamic and flexible, allowing new entrants to become part of the ecosystem with minimal entry barriers while allowing parts of the ecosystem to fade and leave active</w:t>
      </w:r>
      <w:r>
        <w:rPr>
          <w:color w:val="585858"/>
          <w:spacing w:val="-18"/>
          <w:sz w:val="22"/>
        </w:rPr>
        <w:t> </w:t>
      </w:r>
      <w:r>
        <w:rPr>
          <w:color w:val="585858"/>
          <w:sz w:val="22"/>
        </w:rPr>
        <w:t>involvement.</w:t>
      </w:r>
    </w:p>
    <w:p>
      <w:pPr>
        <w:pStyle w:val="ListParagraph"/>
        <w:numPr>
          <w:ilvl w:val="0"/>
          <w:numId w:val="9"/>
        </w:numPr>
        <w:tabs>
          <w:tab w:pos="1410" w:val="left" w:leader="none"/>
        </w:tabs>
        <w:spacing w:line="240" w:lineRule="auto" w:before="120" w:after="0"/>
        <w:ind w:left="1410" w:right="0" w:hanging="358"/>
        <w:jc w:val="left"/>
        <w:rPr>
          <w:sz w:val="22"/>
        </w:rPr>
      </w:pPr>
      <w:r>
        <w:rPr>
          <w:color w:val="585858"/>
          <w:sz w:val="22"/>
        </w:rPr>
        <w:t>an open system with no respect for jurisdictional boundaries or</w:t>
      </w:r>
      <w:r>
        <w:rPr>
          <w:color w:val="585858"/>
          <w:spacing w:val="-11"/>
          <w:sz w:val="22"/>
        </w:rPr>
        <w:t> </w:t>
      </w:r>
      <w:r>
        <w:rPr>
          <w:color w:val="585858"/>
          <w:sz w:val="22"/>
        </w:rPr>
        <w:t>geographies.</w:t>
      </w:r>
    </w:p>
    <w:p>
      <w:pPr>
        <w:pStyle w:val="ListParagraph"/>
        <w:numPr>
          <w:ilvl w:val="0"/>
          <w:numId w:val="9"/>
        </w:numPr>
        <w:tabs>
          <w:tab w:pos="1410" w:val="left" w:leader="none"/>
        </w:tabs>
        <w:spacing w:line="240" w:lineRule="auto" w:before="121" w:after="0"/>
        <w:ind w:left="1410" w:right="270" w:hanging="358"/>
        <w:jc w:val="left"/>
        <w:rPr>
          <w:sz w:val="22"/>
        </w:rPr>
      </w:pPr>
      <w:r>
        <w:rPr>
          <w:color w:val="585858"/>
          <w:sz w:val="22"/>
        </w:rPr>
        <w:t>not concerned with its structures but is rather focused on the range and quality of interactions within and between the structures in the</w:t>
      </w:r>
      <w:r>
        <w:rPr>
          <w:color w:val="585858"/>
          <w:spacing w:val="-6"/>
          <w:sz w:val="22"/>
        </w:rPr>
        <w:t> </w:t>
      </w:r>
      <w:r>
        <w:rPr>
          <w:color w:val="585858"/>
          <w:sz w:val="22"/>
        </w:rPr>
        <w:t>ecosystem.</w:t>
      </w:r>
    </w:p>
    <w:p>
      <w:pPr>
        <w:pStyle w:val="BodyText"/>
        <w:spacing w:before="118"/>
        <w:ind w:left="853" w:right="319"/>
      </w:pPr>
      <w:r>
        <w:rPr>
          <w:color w:val="585858"/>
        </w:rPr>
        <w:t>Several systems and networks have been created for deployment of the use of RE, especially with the active participation of the private sector. These are mainly networking and promotion platforms for attracting inbound venture and private equity funding for RE start-up companies. These clusters could prove an important channel for private finance because of the involvement of many of the biggest industrial companies. The role of these technology networks could change, however since climate mitigation and adaptation problems, especially in infrastructure and utilities, require solutions to whole systems rather than individual problems. These clusters could provide an important component in scaling up mitigation solutions. Private sector companies that are directly linked to project development and knowledge management and communication of projects with an RE agenda, could be an important part of any future solution, with a potential that is largely unexploited to date.</w:t>
      </w:r>
    </w:p>
    <w:p>
      <w:pPr>
        <w:pStyle w:val="BodyText"/>
        <w:rPr>
          <w:sz w:val="20"/>
        </w:rPr>
      </w:pPr>
    </w:p>
    <w:p>
      <w:pPr>
        <w:pStyle w:val="BodyText"/>
        <w:spacing w:before="11"/>
        <w:rPr>
          <w:sz w:val="11"/>
        </w:rPr>
      </w:pPr>
    </w:p>
    <w:tbl>
      <w:tblPr>
        <w:tblW w:w="0" w:type="auto"/>
        <w:jc w:val="left"/>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8"/>
        <w:gridCol w:w="2345"/>
        <w:gridCol w:w="2345"/>
        <w:gridCol w:w="2345"/>
      </w:tblGrid>
      <w:tr>
        <w:trPr>
          <w:trHeight w:val="342" w:hRule="atLeast"/>
        </w:trPr>
        <w:tc>
          <w:tcPr>
            <w:tcW w:w="2348" w:type="dxa"/>
            <w:tcBorders>
              <w:top w:val="nil"/>
              <w:left w:val="nil"/>
            </w:tcBorders>
          </w:tcPr>
          <w:p>
            <w:pPr>
              <w:pStyle w:val="TableParagraph"/>
              <w:spacing w:line="323" w:lineRule="exact"/>
              <w:ind w:left="597"/>
              <w:rPr>
                <w:b/>
                <w:sz w:val="28"/>
              </w:rPr>
            </w:pPr>
            <w:r>
              <w:rPr>
                <w:b/>
                <w:sz w:val="28"/>
              </w:rPr>
              <w:t>Academia</w:t>
            </w:r>
          </w:p>
        </w:tc>
        <w:tc>
          <w:tcPr>
            <w:tcW w:w="2345" w:type="dxa"/>
            <w:tcBorders>
              <w:top w:val="nil"/>
            </w:tcBorders>
            <w:shd w:val="clear" w:color="auto" w:fill="D9D9D9"/>
          </w:tcPr>
          <w:p>
            <w:pPr>
              <w:pStyle w:val="TableParagraph"/>
              <w:spacing w:line="323" w:lineRule="exact"/>
              <w:ind w:left="414"/>
              <w:rPr>
                <w:b/>
                <w:sz w:val="28"/>
              </w:rPr>
            </w:pPr>
            <w:r>
              <w:rPr>
                <w:b/>
                <w:sz w:val="28"/>
              </w:rPr>
              <w:t>Public Sector</w:t>
            </w:r>
          </w:p>
        </w:tc>
        <w:tc>
          <w:tcPr>
            <w:tcW w:w="2345" w:type="dxa"/>
            <w:tcBorders>
              <w:top w:val="nil"/>
            </w:tcBorders>
          </w:tcPr>
          <w:p>
            <w:pPr>
              <w:pStyle w:val="TableParagraph"/>
              <w:spacing w:line="323" w:lineRule="exact"/>
              <w:ind w:left="302"/>
              <w:rPr>
                <w:b/>
                <w:sz w:val="28"/>
              </w:rPr>
            </w:pPr>
            <w:r>
              <w:rPr>
                <w:b/>
                <w:sz w:val="28"/>
              </w:rPr>
              <w:t>Private Players</w:t>
            </w:r>
          </w:p>
        </w:tc>
        <w:tc>
          <w:tcPr>
            <w:tcW w:w="2345" w:type="dxa"/>
            <w:tcBorders>
              <w:top w:val="nil"/>
              <w:right w:val="nil"/>
            </w:tcBorders>
            <w:shd w:val="clear" w:color="auto" w:fill="D9D9D9"/>
          </w:tcPr>
          <w:p>
            <w:pPr>
              <w:pStyle w:val="TableParagraph"/>
              <w:spacing w:line="323" w:lineRule="exact"/>
              <w:ind w:left="472"/>
              <w:rPr>
                <w:b/>
                <w:sz w:val="28"/>
              </w:rPr>
            </w:pPr>
            <w:r>
              <w:rPr>
                <w:b/>
                <w:sz w:val="28"/>
              </w:rPr>
              <w:t>Civil Society</w:t>
            </w:r>
          </w:p>
        </w:tc>
      </w:tr>
      <w:tr>
        <w:trPr>
          <w:trHeight w:val="7909" w:hRule="atLeast"/>
        </w:trPr>
        <w:tc>
          <w:tcPr>
            <w:tcW w:w="2348" w:type="dxa"/>
            <w:tcBorders>
              <w:left w:val="nil"/>
              <w:bottom w:val="nil"/>
            </w:tcBorders>
          </w:tcPr>
          <w:p>
            <w:pPr>
              <w:pStyle w:val="TableParagraph"/>
              <w:numPr>
                <w:ilvl w:val="0"/>
                <w:numId w:val="10"/>
              </w:numPr>
              <w:tabs>
                <w:tab w:pos="300" w:val="left" w:leader="none"/>
              </w:tabs>
              <w:spacing w:line="240" w:lineRule="auto" w:before="0" w:after="0"/>
              <w:ind w:left="299" w:right="85" w:hanging="227"/>
              <w:jc w:val="left"/>
              <w:rPr>
                <w:sz w:val="20"/>
              </w:rPr>
            </w:pPr>
            <w:r>
              <w:rPr>
                <w:sz w:val="20"/>
              </w:rPr>
              <w:t>Financial and technological conditions to achieve and promote</w:t>
            </w:r>
            <w:r>
              <w:rPr>
                <w:spacing w:val="-11"/>
                <w:sz w:val="20"/>
              </w:rPr>
              <w:t> </w:t>
            </w:r>
            <w:r>
              <w:rPr>
                <w:sz w:val="20"/>
              </w:rPr>
              <w:t>innovative ideas on the</w:t>
            </w:r>
            <w:r>
              <w:rPr>
                <w:spacing w:val="-5"/>
                <w:sz w:val="20"/>
              </w:rPr>
              <w:t> </w:t>
            </w:r>
            <w:r>
              <w:rPr>
                <w:sz w:val="20"/>
              </w:rPr>
              <w:t>market</w:t>
            </w:r>
          </w:p>
          <w:p>
            <w:pPr>
              <w:pStyle w:val="TableParagraph"/>
              <w:numPr>
                <w:ilvl w:val="0"/>
                <w:numId w:val="10"/>
              </w:numPr>
              <w:tabs>
                <w:tab w:pos="300" w:val="left" w:leader="none"/>
              </w:tabs>
              <w:spacing w:line="240" w:lineRule="auto" w:before="0" w:after="0"/>
              <w:ind w:left="299" w:right="235" w:hanging="227"/>
              <w:jc w:val="left"/>
              <w:rPr>
                <w:sz w:val="20"/>
              </w:rPr>
            </w:pPr>
            <w:r>
              <w:rPr>
                <w:sz w:val="20"/>
              </w:rPr>
              <w:t>Obtaining the copyrights – remuneration for the developed and patented use, popularity amongst business and</w:t>
            </w:r>
            <w:r>
              <w:rPr>
                <w:spacing w:val="-11"/>
                <w:sz w:val="20"/>
              </w:rPr>
              <w:t> </w:t>
            </w:r>
            <w:r>
              <w:rPr>
                <w:sz w:val="20"/>
              </w:rPr>
              <w:t>scientific circles</w:t>
            </w:r>
          </w:p>
          <w:p>
            <w:pPr>
              <w:pStyle w:val="TableParagraph"/>
              <w:numPr>
                <w:ilvl w:val="0"/>
                <w:numId w:val="10"/>
              </w:numPr>
              <w:tabs>
                <w:tab w:pos="300" w:val="left" w:leader="none"/>
              </w:tabs>
              <w:spacing w:line="240" w:lineRule="auto" w:before="0" w:after="0"/>
              <w:ind w:left="299" w:right="74" w:hanging="227"/>
              <w:jc w:val="left"/>
              <w:rPr>
                <w:sz w:val="20"/>
              </w:rPr>
            </w:pPr>
            <w:r>
              <w:rPr>
                <w:sz w:val="20"/>
              </w:rPr>
              <w:t>High certification training and graduating specialists with</w:t>
            </w:r>
            <w:r>
              <w:rPr>
                <w:spacing w:val="-17"/>
                <w:sz w:val="20"/>
              </w:rPr>
              <w:t> </w:t>
            </w:r>
            <w:r>
              <w:rPr>
                <w:sz w:val="20"/>
              </w:rPr>
              <w:t>practical and theoretical knowledge</w:t>
            </w:r>
            <w:r>
              <w:rPr>
                <w:spacing w:val="-5"/>
                <w:sz w:val="20"/>
              </w:rPr>
              <w:t> </w:t>
            </w:r>
            <w:r>
              <w:rPr>
                <w:sz w:val="20"/>
              </w:rPr>
              <w:t>application.</w:t>
            </w:r>
          </w:p>
          <w:p>
            <w:pPr>
              <w:pStyle w:val="TableParagraph"/>
              <w:numPr>
                <w:ilvl w:val="0"/>
                <w:numId w:val="10"/>
              </w:numPr>
              <w:tabs>
                <w:tab w:pos="300" w:val="left" w:leader="none"/>
              </w:tabs>
              <w:spacing w:line="240" w:lineRule="auto" w:before="0" w:after="0"/>
              <w:ind w:left="299" w:right="92" w:hanging="227"/>
              <w:jc w:val="left"/>
              <w:rPr>
                <w:sz w:val="20"/>
              </w:rPr>
            </w:pPr>
            <w:r>
              <w:rPr>
                <w:sz w:val="20"/>
              </w:rPr>
              <w:t>Developing a</w:t>
            </w:r>
            <w:r>
              <w:rPr>
                <w:spacing w:val="-10"/>
                <w:sz w:val="20"/>
              </w:rPr>
              <w:t> </w:t>
            </w:r>
            <w:r>
              <w:rPr>
                <w:sz w:val="20"/>
              </w:rPr>
              <w:t>laboratory scientific basis with high-end</w:t>
            </w:r>
            <w:r>
              <w:rPr>
                <w:spacing w:val="-2"/>
                <w:sz w:val="20"/>
              </w:rPr>
              <w:t> </w:t>
            </w:r>
            <w:r>
              <w:rPr>
                <w:sz w:val="20"/>
              </w:rPr>
              <w:t>equipment</w:t>
            </w:r>
          </w:p>
          <w:p>
            <w:pPr>
              <w:pStyle w:val="TableParagraph"/>
              <w:numPr>
                <w:ilvl w:val="0"/>
                <w:numId w:val="10"/>
              </w:numPr>
              <w:tabs>
                <w:tab w:pos="300" w:val="left" w:leader="none"/>
              </w:tabs>
              <w:spacing w:line="240" w:lineRule="auto" w:before="1" w:after="0"/>
              <w:ind w:left="299" w:right="72" w:hanging="227"/>
              <w:jc w:val="left"/>
              <w:rPr>
                <w:sz w:val="20"/>
              </w:rPr>
            </w:pPr>
            <w:r>
              <w:rPr>
                <w:sz w:val="20"/>
              </w:rPr>
              <w:t>University and</w:t>
            </w:r>
            <w:r>
              <w:rPr>
                <w:spacing w:val="-12"/>
                <w:sz w:val="20"/>
              </w:rPr>
              <w:t> </w:t>
            </w:r>
            <w:r>
              <w:rPr>
                <w:sz w:val="20"/>
              </w:rPr>
              <w:t>students’ involvement in innovative</w:t>
            </w:r>
            <w:r>
              <w:rPr>
                <w:spacing w:val="-4"/>
                <w:sz w:val="20"/>
              </w:rPr>
              <w:t> </w:t>
            </w:r>
            <w:r>
              <w:rPr>
                <w:sz w:val="20"/>
              </w:rPr>
              <w:t>businesses.</w:t>
            </w:r>
          </w:p>
          <w:p>
            <w:pPr>
              <w:pStyle w:val="TableParagraph"/>
              <w:numPr>
                <w:ilvl w:val="0"/>
                <w:numId w:val="10"/>
              </w:numPr>
              <w:tabs>
                <w:tab w:pos="300" w:val="left" w:leader="none"/>
              </w:tabs>
              <w:spacing w:line="240" w:lineRule="auto" w:before="0" w:after="0"/>
              <w:ind w:left="299" w:right="126" w:hanging="227"/>
              <w:jc w:val="left"/>
              <w:rPr>
                <w:sz w:val="20"/>
              </w:rPr>
            </w:pPr>
            <w:r>
              <w:rPr>
                <w:sz w:val="20"/>
              </w:rPr>
              <w:t>Accelerating innovative economic</w:t>
            </w:r>
            <w:r>
              <w:rPr>
                <w:spacing w:val="1"/>
                <w:sz w:val="20"/>
              </w:rPr>
              <w:t> </w:t>
            </w:r>
            <w:r>
              <w:rPr>
                <w:spacing w:val="-2"/>
                <w:sz w:val="20"/>
              </w:rPr>
              <w:t>development</w:t>
            </w:r>
          </w:p>
          <w:p>
            <w:pPr>
              <w:pStyle w:val="TableParagraph"/>
              <w:numPr>
                <w:ilvl w:val="0"/>
                <w:numId w:val="10"/>
              </w:numPr>
              <w:tabs>
                <w:tab w:pos="300" w:val="left" w:leader="none"/>
              </w:tabs>
              <w:spacing w:line="240" w:lineRule="auto" w:before="0" w:after="0"/>
              <w:ind w:left="299" w:right="612" w:hanging="227"/>
              <w:jc w:val="left"/>
              <w:rPr>
                <w:sz w:val="20"/>
              </w:rPr>
            </w:pPr>
            <w:r>
              <w:rPr>
                <w:sz w:val="20"/>
              </w:rPr>
              <w:t>Preventing</w:t>
            </w:r>
            <w:r>
              <w:rPr>
                <w:spacing w:val="-13"/>
                <w:sz w:val="20"/>
              </w:rPr>
              <w:t> </w:t>
            </w:r>
            <w:r>
              <w:rPr>
                <w:sz w:val="20"/>
              </w:rPr>
              <w:t>”brain exodus”</w:t>
            </w:r>
          </w:p>
          <w:p>
            <w:pPr>
              <w:pStyle w:val="TableParagraph"/>
              <w:numPr>
                <w:ilvl w:val="0"/>
                <w:numId w:val="10"/>
              </w:numPr>
              <w:tabs>
                <w:tab w:pos="300" w:val="left" w:leader="none"/>
              </w:tabs>
              <w:spacing w:line="240" w:lineRule="auto" w:before="0" w:after="0"/>
              <w:ind w:left="299" w:right="160" w:hanging="227"/>
              <w:jc w:val="left"/>
              <w:rPr>
                <w:sz w:val="20"/>
              </w:rPr>
            </w:pPr>
            <w:r>
              <w:rPr>
                <w:sz w:val="20"/>
              </w:rPr>
              <w:t>Increasing foreign investments and possibilities for</w:t>
            </w:r>
            <w:r>
              <w:rPr>
                <w:spacing w:val="-12"/>
                <w:sz w:val="20"/>
              </w:rPr>
              <w:t> </w:t>
            </w:r>
            <w:r>
              <w:rPr>
                <w:sz w:val="20"/>
              </w:rPr>
              <w:t>exports</w:t>
            </w:r>
          </w:p>
          <w:p>
            <w:pPr>
              <w:pStyle w:val="TableParagraph"/>
              <w:numPr>
                <w:ilvl w:val="0"/>
                <w:numId w:val="10"/>
              </w:numPr>
              <w:tabs>
                <w:tab w:pos="300" w:val="left" w:leader="none"/>
              </w:tabs>
              <w:spacing w:line="234" w:lineRule="exact" w:before="1" w:after="0"/>
              <w:ind w:left="299" w:right="0" w:hanging="227"/>
              <w:jc w:val="left"/>
              <w:rPr>
                <w:sz w:val="20"/>
              </w:rPr>
            </w:pPr>
            <w:r>
              <w:rPr>
                <w:sz w:val="20"/>
              </w:rPr>
              <w:t>New high-end tech</w:t>
            </w:r>
            <w:r>
              <w:rPr>
                <w:spacing w:val="-6"/>
                <w:sz w:val="20"/>
              </w:rPr>
              <w:t> </w:t>
            </w:r>
            <w:r>
              <w:rPr>
                <w:sz w:val="20"/>
              </w:rPr>
              <w:t>jobs</w:t>
            </w:r>
          </w:p>
        </w:tc>
        <w:tc>
          <w:tcPr>
            <w:tcW w:w="2345" w:type="dxa"/>
            <w:tcBorders>
              <w:bottom w:val="nil"/>
            </w:tcBorders>
            <w:shd w:val="clear" w:color="auto" w:fill="D9D9D9"/>
          </w:tcPr>
          <w:p>
            <w:pPr>
              <w:pStyle w:val="TableParagraph"/>
              <w:numPr>
                <w:ilvl w:val="0"/>
                <w:numId w:val="11"/>
              </w:numPr>
              <w:tabs>
                <w:tab w:pos="293" w:val="left" w:leader="none"/>
              </w:tabs>
              <w:spacing w:line="240" w:lineRule="auto" w:before="0" w:after="0"/>
              <w:ind w:left="292" w:right="126" w:hanging="228"/>
              <w:jc w:val="left"/>
              <w:rPr>
                <w:sz w:val="20"/>
              </w:rPr>
            </w:pPr>
            <w:r>
              <w:rPr>
                <w:sz w:val="20"/>
              </w:rPr>
              <w:t>Accelerating innovative economic </w:t>
            </w:r>
            <w:r>
              <w:rPr>
                <w:spacing w:val="-2"/>
                <w:sz w:val="20"/>
              </w:rPr>
              <w:t>development</w:t>
            </w:r>
          </w:p>
          <w:p>
            <w:pPr>
              <w:pStyle w:val="TableParagraph"/>
              <w:numPr>
                <w:ilvl w:val="0"/>
                <w:numId w:val="11"/>
              </w:numPr>
              <w:tabs>
                <w:tab w:pos="293" w:val="left" w:leader="none"/>
              </w:tabs>
              <w:spacing w:line="240" w:lineRule="auto" w:before="1" w:after="0"/>
              <w:ind w:left="292" w:right="612" w:hanging="228"/>
              <w:jc w:val="left"/>
              <w:rPr>
                <w:sz w:val="20"/>
              </w:rPr>
            </w:pPr>
            <w:r>
              <w:rPr>
                <w:sz w:val="20"/>
              </w:rPr>
              <w:t>Preventing </w:t>
            </w:r>
            <w:r>
              <w:rPr>
                <w:spacing w:val="-3"/>
                <w:sz w:val="20"/>
              </w:rPr>
              <w:t>”brain </w:t>
            </w:r>
            <w:r>
              <w:rPr>
                <w:sz w:val="20"/>
              </w:rPr>
              <w:t>exodus”</w:t>
            </w:r>
          </w:p>
          <w:p>
            <w:pPr>
              <w:pStyle w:val="TableParagraph"/>
              <w:numPr>
                <w:ilvl w:val="0"/>
                <w:numId w:val="11"/>
              </w:numPr>
              <w:tabs>
                <w:tab w:pos="293" w:val="left" w:leader="none"/>
              </w:tabs>
              <w:spacing w:line="240" w:lineRule="auto" w:before="0" w:after="0"/>
              <w:ind w:left="292" w:right="159" w:hanging="228"/>
              <w:jc w:val="left"/>
              <w:rPr>
                <w:sz w:val="20"/>
              </w:rPr>
            </w:pPr>
            <w:r>
              <w:rPr>
                <w:sz w:val="20"/>
              </w:rPr>
              <w:t>Increasing foreign investments and possibilities for</w:t>
            </w:r>
            <w:r>
              <w:rPr>
                <w:spacing w:val="-12"/>
                <w:sz w:val="20"/>
              </w:rPr>
              <w:t> </w:t>
            </w:r>
            <w:r>
              <w:rPr>
                <w:sz w:val="20"/>
              </w:rPr>
              <w:t>exports</w:t>
            </w:r>
          </w:p>
          <w:p>
            <w:pPr>
              <w:pStyle w:val="TableParagraph"/>
              <w:numPr>
                <w:ilvl w:val="0"/>
                <w:numId w:val="11"/>
              </w:numPr>
              <w:tabs>
                <w:tab w:pos="293" w:val="left" w:leader="none"/>
              </w:tabs>
              <w:spacing w:line="253" w:lineRule="exact" w:before="0" w:after="0"/>
              <w:ind w:left="292" w:right="0" w:hanging="228"/>
              <w:jc w:val="left"/>
              <w:rPr>
                <w:sz w:val="20"/>
              </w:rPr>
            </w:pPr>
            <w:r>
              <w:rPr>
                <w:sz w:val="20"/>
              </w:rPr>
              <w:t>New high-end tech</w:t>
            </w:r>
            <w:r>
              <w:rPr>
                <w:spacing w:val="-6"/>
                <w:sz w:val="20"/>
              </w:rPr>
              <w:t> </w:t>
            </w:r>
            <w:r>
              <w:rPr>
                <w:sz w:val="20"/>
              </w:rPr>
              <w:t>jobs</w:t>
            </w:r>
          </w:p>
          <w:p>
            <w:pPr>
              <w:pStyle w:val="TableParagraph"/>
              <w:numPr>
                <w:ilvl w:val="0"/>
                <w:numId w:val="11"/>
              </w:numPr>
              <w:tabs>
                <w:tab w:pos="293" w:val="left" w:leader="none"/>
              </w:tabs>
              <w:spacing w:line="240" w:lineRule="auto" w:before="0" w:after="0"/>
              <w:ind w:left="292" w:right="121" w:hanging="228"/>
              <w:jc w:val="left"/>
              <w:rPr>
                <w:sz w:val="20"/>
              </w:rPr>
            </w:pPr>
            <w:r>
              <w:rPr>
                <w:sz w:val="20"/>
              </w:rPr>
              <w:t>Increase standard</w:t>
            </w:r>
            <w:r>
              <w:rPr>
                <w:spacing w:val="-10"/>
                <w:sz w:val="20"/>
              </w:rPr>
              <w:t> </w:t>
            </w:r>
            <w:r>
              <w:rPr>
                <w:sz w:val="20"/>
              </w:rPr>
              <w:t>living level</w:t>
            </w:r>
          </w:p>
          <w:p>
            <w:pPr>
              <w:pStyle w:val="TableParagraph"/>
              <w:numPr>
                <w:ilvl w:val="0"/>
                <w:numId w:val="11"/>
              </w:numPr>
              <w:tabs>
                <w:tab w:pos="293" w:val="left" w:leader="none"/>
              </w:tabs>
              <w:spacing w:line="240" w:lineRule="auto" w:before="0" w:after="0"/>
              <w:ind w:left="292" w:right="195" w:hanging="228"/>
              <w:jc w:val="left"/>
              <w:rPr>
                <w:sz w:val="20"/>
              </w:rPr>
            </w:pPr>
            <w:r>
              <w:rPr>
                <w:sz w:val="20"/>
              </w:rPr>
              <w:t>Consolidating the staff component in the technical and </w:t>
            </w:r>
            <w:r>
              <w:rPr>
                <w:spacing w:val="-3"/>
                <w:sz w:val="20"/>
              </w:rPr>
              <w:t>scientific </w:t>
            </w:r>
            <w:r>
              <w:rPr>
                <w:sz w:val="20"/>
              </w:rPr>
              <w:t>potential of the</w:t>
            </w:r>
            <w:r>
              <w:rPr>
                <w:spacing w:val="-11"/>
                <w:sz w:val="20"/>
              </w:rPr>
              <w:t> </w:t>
            </w:r>
            <w:r>
              <w:rPr>
                <w:sz w:val="20"/>
              </w:rPr>
              <w:t>region</w:t>
            </w:r>
          </w:p>
          <w:p>
            <w:pPr>
              <w:pStyle w:val="TableParagraph"/>
              <w:numPr>
                <w:ilvl w:val="0"/>
                <w:numId w:val="11"/>
              </w:numPr>
              <w:tabs>
                <w:tab w:pos="293" w:val="left" w:leader="none"/>
              </w:tabs>
              <w:spacing w:line="240" w:lineRule="auto" w:before="2" w:after="0"/>
              <w:ind w:left="292" w:right="137" w:hanging="228"/>
              <w:jc w:val="left"/>
              <w:rPr>
                <w:sz w:val="20"/>
              </w:rPr>
            </w:pPr>
            <w:r>
              <w:rPr>
                <w:sz w:val="20"/>
              </w:rPr>
              <w:t>Attracting</w:t>
            </w:r>
            <w:r>
              <w:rPr>
                <w:spacing w:val="-9"/>
                <w:sz w:val="20"/>
              </w:rPr>
              <w:t> </w:t>
            </w:r>
            <w:r>
              <w:rPr>
                <w:sz w:val="20"/>
              </w:rPr>
              <w:t>investments; improving infrastructure</w:t>
            </w:r>
          </w:p>
        </w:tc>
        <w:tc>
          <w:tcPr>
            <w:tcW w:w="2345" w:type="dxa"/>
            <w:tcBorders>
              <w:bottom w:val="nil"/>
            </w:tcBorders>
          </w:tcPr>
          <w:p>
            <w:pPr>
              <w:pStyle w:val="TableParagraph"/>
              <w:numPr>
                <w:ilvl w:val="0"/>
                <w:numId w:val="12"/>
              </w:numPr>
              <w:tabs>
                <w:tab w:pos="293" w:val="left" w:leader="none"/>
              </w:tabs>
              <w:spacing w:line="240" w:lineRule="auto" w:before="0" w:after="0"/>
              <w:ind w:left="292" w:right="161" w:hanging="228"/>
              <w:jc w:val="left"/>
              <w:rPr>
                <w:sz w:val="20"/>
              </w:rPr>
            </w:pPr>
            <w:r>
              <w:rPr>
                <w:sz w:val="20"/>
              </w:rPr>
              <w:t>For high-end technology</w:t>
            </w:r>
            <w:r>
              <w:rPr>
                <w:spacing w:val="6"/>
                <w:sz w:val="20"/>
              </w:rPr>
              <w:t> </w:t>
            </w:r>
            <w:r>
              <w:rPr>
                <w:spacing w:val="-3"/>
                <w:sz w:val="20"/>
              </w:rPr>
              <w:t>companies:</w:t>
            </w:r>
          </w:p>
          <w:p>
            <w:pPr>
              <w:pStyle w:val="TableParagraph"/>
              <w:numPr>
                <w:ilvl w:val="0"/>
                <w:numId w:val="12"/>
              </w:numPr>
              <w:tabs>
                <w:tab w:pos="293" w:val="left" w:leader="none"/>
              </w:tabs>
              <w:spacing w:line="240" w:lineRule="auto" w:before="1" w:after="0"/>
              <w:ind w:left="292" w:right="174" w:hanging="228"/>
              <w:jc w:val="left"/>
              <w:rPr>
                <w:sz w:val="20"/>
              </w:rPr>
            </w:pPr>
            <w:r>
              <w:rPr>
                <w:sz w:val="20"/>
              </w:rPr>
              <w:t>Development of new technological solutions and creating new competitive</w:t>
            </w:r>
            <w:r>
              <w:rPr>
                <w:spacing w:val="-3"/>
                <w:sz w:val="20"/>
              </w:rPr>
              <w:t> </w:t>
            </w:r>
            <w:r>
              <w:rPr>
                <w:sz w:val="20"/>
              </w:rPr>
              <w:t>products</w:t>
            </w:r>
          </w:p>
          <w:p>
            <w:pPr>
              <w:pStyle w:val="TableParagraph"/>
              <w:numPr>
                <w:ilvl w:val="0"/>
                <w:numId w:val="12"/>
              </w:numPr>
              <w:tabs>
                <w:tab w:pos="293" w:val="left" w:leader="none"/>
              </w:tabs>
              <w:spacing w:line="240" w:lineRule="auto" w:before="0" w:after="0"/>
              <w:ind w:left="292" w:right="81" w:hanging="228"/>
              <w:jc w:val="left"/>
              <w:rPr>
                <w:sz w:val="20"/>
              </w:rPr>
            </w:pPr>
            <w:r>
              <w:rPr>
                <w:sz w:val="20"/>
              </w:rPr>
              <w:t>Reducing the</w:t>
            </w:r>
            <w:r>
              <w:rPr>
                <w:spacing w:val="-9"/>
                <w:sz w:val="20"/>
              </w:rPr>
              <w:t> </w:t>
            </w:r>
            <w:r>
              <w:rPr>
                <w:sz w:val="20"/>
              </w:rPr>
              <w:t>innovative cycle and implementing the idea into the product</w:t>
            </w:r>
          </w:p>
          <w:p>
            <w:pPr>
              <w:pStyle w:val="TableParagraph"/>
              <w:numPr>
                <w:ilvl w:val="0"/>
                <w:numId w:val="12"/>
              </w:numPr>
              <w:tabs>
                <w:tab w:pos="293" w:val="left" w:leader="none"/>
              </w:tabs>
              <w:spacing w:line="240" w:lineRule="auto" w:before="0" w:after="0"/>
              <w:ind w:left="292" w:right="307" w:hanging="228"/>
              <w:jc w:val="left"/>
              <w:rPr>
                <w:sz w:val="20"/>
              </w:rPr>
            </w:pPr>
            <w:r>
              <w:rPr>
                <w:sz w:val="20"/>
              </w:rPr>
              <w:t>Reducing the risk of creating and manufacturing non- competitive</w:t>
            </w:r>
            <w:r>
              <w:rPr>
                <w:spacing w:val="-14"/>
                <w:sz w:val="20"/>
              </w:rPr>
              <w:t> </w:t>
            </w:r>
            <w:r>
              <w:rPr>
                <w:sz w:val="20"/>
              </w:rPr>
              <w:t>products</w:t>
            </w:r>
          </w:p>
          <w:p>
            <w:pPr>
              <w:pStyle w:val="TableParagraph"/>
              <w:numPr>
                <w:ilvl w:val="0"/>
                <w:numId w:val="12"/>
              </w:numPr>
              <w:tabs>
                <w:tab w:pos="293" w:val="left" w:leader="none"/>
              </w:tabs>
              <w:spacing w:line="240" w:lineRule="auto" w:before="0" w:after="0"/>
              <w:ind w:left="292" w:right="216" w:hanging="228"/>
              <w:jc w:val="left"/>
              <w:rPr>
                <w:sz w:val="20"/>
              </w:rPr>
            </w:pPr>
            <w:r>
              <w:rPr>
                <w:sz w:val="20"/>
              </w:rPr>
              <w:t>Attracting</w:t>
            </w:r>
            <w:r>
              <w:rPr>
                <w:spacing w:val="-9"/>
                <w:sz w:val="20"/>
              </w:rPr>
              <w:t> </w:t>
            </w:r>
            <w:r>
              <w:rPr>
                <w:sz w:val="20"/>
              </w:rPr>
              <w:t>competitive specialist to promote intensive scientific products</w:t>
            </w:r>
          </w:p>
          <w:p>
            <w:pPr>
              <w:pStyle w:val="TableParagraph"/>
              <w:numPr>
                <w:ilvl w:val="0"/>
                <w:numId w:val="12"/>
              </w:numPr>
              <w:tabs>
                <w:tab w:pos="293" w:val="left" w:leader="none"/>
              </w:tabs>
              <w:spacing w:line="240" w:lineRule="auto" w:before="0" w:after="0"/>
              <w:ind w:left="292" w:right="384" w:hanging="228"/>
              <w:jc w:val="left"/>
              <w:rPr>
                <w:sz w:val="20"/>
              </w:rPr>
            </w:pPr>
            <w:r>
              <w:rPr>
                <w:sz w:val="20"/>
              </w:rPr>
              <w:t>For investments</w:t>
            </w:r>
            <w:r>
              <w:rPr>
                <w:spacing w:val="-10"/>
                <w:sz w:val="20"/>
              </w:rPr>
              <w:t> </w:t>
            </w:r>
            <w:r>
              <w:rPr>
                <w:sz w:val="20"/>
              </w:rPr>
              <w:t>and risk</w:t>
            </w:r>
            <w:r>
              <w:rPr>
                <w:spacing w:val="-1"/>
                <w:sz w:val="20"/>
              </w:rPr>
              <w:t> </w:t>
            </w:r>
            <w:r>
              <w:rPr>
                <w:sz w:val="20"/>
              </w:rPr>
              <w:t>funds</w:t>
            </w:r>
          </w:p>
          <w:p>
            <w:pPr>
              <w:pStyle w:val="TableParagraph"/>
              <w:numPr>
                <w:ilvl w:val="0"/>
                <w:numId w:val="12"/>
              </w:numPr>
              <w:tabs>
                <w:tab w:pos="293" w:val="left" w:leader="none"/>
              </w:tabs>
              <w:spacing w:line="240" w:lineRule="auto" w:before="0" w:after="0"/>
              <w:ind w:left="292" w:right="252" w:hanging="228"/>
              <w:jc w:val="left"/>
              <w:rPr>
                <w:sz w:val="20"/>
              </w:rPr>
            </w:pPr>
            <w:r>
              <w:rPr>
                <w:sz w:val="20"/>
              </w:rPr>
              <w:t>Availability of implemented innovative projects ready to be</w:t>
            </w:r>
            <w:r>
              <w:rPr>
                <w:spacing w:val="-18"/>
                <w:sz w:val="20"/>
              </w:rPr>
              <w:t> </w:t>
            </w:r>
            <w:r>
              <w:rPr>
                <w:sz w:val="20"/>
              </w:rPr>
              <w:t>promoted on the</w:t>
            </w:r>
            <w:r>
              <w:rPr>
                <w:spacing w:val="-2"/>
                <w:sz w:val="20"/>
              </w:rPr>
              <w:t> </w:t>
            </w:r>
            <w:r>
              <w:rPr>
                <w:sz w:val="20"/>
              </w:rPr>
              <w:t>market</w:t>
            </w:r>
          </w:p>
          <w:p>
            <w:pPr>
              <w:pStyle w:val="TableParagraph"/>
              <w:numPr>
                <w:ilvl w:val="0"/>
                <w:numId w:val="12"/>
              </w:numPr>
              <w:tabs>
                <w:tab w:pos="293" w:val="left" w:leader="none"/>
              </w:tabs>
              <w:spacing w:line="240" w:lineRule="auto" w:before="0" w:after="0"/>
              <w:ind w:left="292" w:right="207" w:hanging="228"/>
              <w:jc w:val="left"/>
              <w:rPr>
                <w:sz w:val="20"/>
              </w:rPr>
            </w:pPr>
            <w:r>
              <w:rPr>
                <w:sz w:val="20"/>
              </w:rPr>
              <w:t>Availability of innovative projects in an incomplete implementation</w:t>
            </w:r>
            <w:r>
              <w:rPr>
                <w:spacing w:val="-4"/>
                <w:sz w:val="20"/>
              </w:rPr>
              <w:t> </w:t>
            </w:r>
            <w:r>
              <w:rPr>
                <w:spacing w:val="-3"/>
                <w:sz w:val="20"/>
              </w:rPr>
              <w:t>phase</w:t>
            </w:r>
          </w:p>
          <w:p>
            <w:pPr>
              <w:pStyle w:val="TableParagraph"/>
              <w:numPr>
                <w:ilvl w:val="0"/>
                <w:numId w:val="12"/>
              </w:numPr>
              <w:tabs>
                <w:tab w:pos="293" w:val="left" w:leader="none"/>
              </w:tabs>
              <w:spacing w:line="254" w:lineRule="exact" w:before="0" w:after="0"/>
              <w:ind w:left="292" w:right="0" w:hanging="228"/>
              <w:jc w:val="left"/>
              <w:rPr>
                <w:sz w:val="20"/>
              </w:rPr>
            </w:pPr>
            <w:r>
              <w:rPr>
                <w:sz w:val="20"/>
              </w:rPr>
              <w:t>Innovative</w:t>
            </w:r>
          </w:p>
          <w:p>
            <w:pPr>
              <w:pStyle w:val="TableParagraph"/>
              <w:spacing w:line="240" w:lineRule="auto"/>
              <w:ind w:left="292"/>
              <w:rPr>
                <w:sz w:val="20"/>
              </w:rPr>
            </w:pPr>
            <w:r>
              <w:rPr>
                <w:sz w:val="20"/>
              </w:rPr>
              <w:t>development ”bank”;</w:t>
            </w:r>
          </w:p>
          <w:p>
            <w:pPr>
              <w:pStyle w:val="TableParagraph"/>
              <w:spacing w:line="223" w:lineRule="exact" w:before="1"/>
              <w:ind w:left="292"/>
              <w:rPr>
                <w:sz w:val="20"/>
              </w:rPr>
            </w:pPr>
            <w:r>
              <w:rPr>
                <w:sz w:val="20"/>
              </w:rPr>
              <w:t>Profitable</w:t>
            </w:r>
          </w:p>
        </w:tc>
        <w:tc>
          <w:tcPr>
            <w:tcW w:w="2345" w:type="dxa"/>
            <w:tcBorders>
              <w:bottom w:val="nil"/>
              <w:right w:val="nil"/>
            </w:tcBorders>
            <w:shd w:val="clear" w:color="auto" w:fill="D9D9D9"/>
          </w:tcPr>
          <w:p>
            <w:pPr>
              <w:pStyle w:val="TableParagraph"/>
              <w:numPr>
                <w:ilvl w:val="0"/>
                <w:numId w:val="13"/>
              </w:numPr>
              <w:tabs>
                <w:tab w:pos="293" w:val="left" w:leader="none"/>
              </w:tabs>
              <w:spacing w:line="240" w:lineRule="auto" w:before="0" w:after="0"/>
              <w:ind w:left="292" w:right="0" w:hanging="228"/>
              <w:jc w:val="left"/>
              <w:rPr>
                <w:sz w:val="20"/>
              </w:rPr>
            </w:pPr>
            <w:r>
              <w:rPr>
                <w:sz w:val="20"/>
              </w:rPr>
              <w:t>Consumer</w:t>
            </w:r>
            <w:r>
              <w:rPr>
                <w:spacing w:val="-2"/>
                <w:sz w:val="20"/>
              </w:rPr>
              <w:t> </w:t>
            </w:r>
            <w:r>
              <w:rPr>
                <w:sz w:val="20"/>
              </w:rPr>
              <w:t>protection</w:t>
            </w:r>
          </w:p>
          <w:p>
            <w:pPr>
              <w:pStyle w:val="TableParagraph"/>
              <w:numPr>
                <w:ilvl w:val="0"/>
                <w:numId w:val="13"/>
              </w:numPr>
              <w:tabs>
                <w:tab w:pos="293" w:val="left" w:leader="none"/>
              </w:tabs>
              <w:spacing w:line="240" w:lineRule="auto" w:before="0" w:after="0"/>
              <w:ind w:left="292" w:right="649" w:hanging="228"/>
              <w:jc w:val="left"/>
              <w:rPr>
                <w:sz w:val="20"/>
              </w:rPr>
            </w:pPr>
            <w:r>
              <w:rPr>
                <w:sz w:val="20"/>
              </w:rPr>
              <w:t>End-user </w:t>
            </w:r>
            <w:r>
              <w:rPr>
                <w:spacing w:val="-3"/>
                <w:sz w:val="20"/>
              </w:rPr>
              <w:t>interest </w:t>
            </w:r>
            <w:r>
              <w:rPr>
                <w:sz w:val="20"/>
              </w:rPr>
              <w:t>forward</w:t>
            </w:r>
          </w:p>
          <w:p>
            <w:pPr>
              <w:pStyle w:val="TableParagraph"/>
              <w:numPr>
                <w:ilvl w:val="0"/>
                <w:numId w:val="13"/>
              </w:numPr>
              <w:tabs>
                <w:tab w:pos="293" w:val="left" w:leader="none"/>
              </w:tabs>
              <w:spacing w:line="240" w:lineRule="auto" w:before="0" w:after="0"/>
              <w:ind w:left="292" w:right="88" w:hanging="228"/>
              <w:jc w:val="left"/>
              <w:rPr>
                <w:sz w:val="20"/>
              </w:rPr>
            </w:pPr>
            <w:r>
              <w:rPr>
                <w:sz w:val="20"/>
              </w:rPr>
              <w:t>Cross-cutting fields advocacy</w:t>
            </w:r>
            <w:r>
              <w:rPr>
                <w:spacing w:val="-10"/>
                <w:sz w:val="20"/>
              </w:rPr>
              <w:t> </w:t>
            </w:r>
            <w:r>
              <w:rPr>
                <w:sz w:val="20"/>
              </w:rPr>
              <w:t>(environment, employment, gender- balance, development cooperation, sustainable land use, etc.)</w:t>
            </w:r>
          </w:p>
          <w:p>
            <w:pPr>
              <w:pStyle w:val="TableParagraph"/>
              <w:numPr>
                <w:ilvl w:val="0"/>
                <w:numId w:val="13"/>
              </w:numPr>
              <w:tabs>
                <w:tab w:pos="293" w:val="left" w:leader="none"/>
              </w:tabs>
              <w:spacing w:line="240" w:lineRule="auto" w:before="0" w:after="0"/>
              <w:ind w:left="292" w:right="180" w:hanging="228"/>
              <w:jc w:val="left"/>
              <w:rPr>
                <w:sz w:val="20"/>
              </w:rPr>
            </w:pPr>
            <w:r>
              <w:rPr>
                <w:sz w:val="20"/>
              </w:rPr>
              <w:t>“Innovation</w:t>
            </w:r>
            <w:r>
              <w:rPr>
                <w:spacing w:val="-8"/>
                <w:sz w:val="20"/>
              </w:rPr>
              <w:t> </w:t>
            </w:r>
            <w:r>
              <w:rPr>
                <w:sz w:val="20"/>
              </w:rPr>
              <w:t>ecosystem model for commercialization</w:t>
            </w:r>
            <w:r>
              <w:rPr>
                <w:spacing w:val="-2"/>
                <w:sz w:val="20"/>
              </w:rPr>
              <w:t> </w:t>
            </w:r>
            <w:r>
              <w:rPr>
                <w:sz w:val="20"/>
              </w:rPr>
              <w:t>of</w:t>
            </w:r>
          </w:p>
          <w:p>
            <w:pPr>
              <w:pStyle w:val="TableParagraph"/>
              <w:spacing w:line="240" w:lineRule="auto" w:before="1"/>
              <w:ind w:left="292" w:right="91"/>
              <w:rPr>
                <w:sz w:val="20"/>
              </w:rPr>
            </w:pPr>
            <w:r>
              <w:rPr>
                <w:sz w:val="20"/>
              </w:rPr>
              <w:t>research results”, Proceedings of the International Conference on Business Excellence, 11(1), 1020-</w:t>
            </w:r>
          </w:p>
          <w:p>
            <w:pPr>
              <w:pStyle w:val="TableParagraph"/>
              <w:spacing w:line="243" w:lineRule="exact"/>
              <w:ind w:left="292"/>
              <w:rPr>
                <w:sz w:val="20"/>
              </w:rPr>
            </w:pPr>
            <w:r>
              <w:rPr>
                <w:sz w:val="20"/>
              </w:rPr>
              <w:t>1032.</w:t>
            </w:r>
          </w:p>
        </w:tc>
      </w:tr>
    </w:tbl>
    <w:p>
      <w:pPr>
        <w:spacing w:after="0" w:line="243" w:lineRule="exact"/>
        <w:rPr>
          <w:sz w:val="20"/>
        </w:rPr>
        <w:sectPr>
          <w:pgSz w:w="11920" w:h="16850"/>
          <w:pgMar w:header="0" w:footer="805" w:top="960" w:bottom="1280" w:left="1000" w:right="580"/>
        </w:sectPr>
      </w:pPr>
    </w:p>
    <w:p>
      <w:pPr>
        <w:tabs>
          <w:tab w:pos="7850" w:val="left" w:leader="none"/>
        </w:tabs>
        <w:spacing w:line="240" w:lineRule="auto"/>
        <w:ind w:left="689" w:right="0" w:firstLine="0"/>
        <w:rPr>
          <w:sz w:val="20"/>
        </w:rPr>
      </w:pPr>
      <w:r>
        <w:rPr>
          <w:sz w:val="20"/>
        </w:rPr>
        <w:pict>
          <v:shape style="width:347.9pt;height:111.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6"/>
                    <w:gridCol w:w="2345"/>
                    <w:gridCol w:w="2137"/>
                  </w:tblGrid>
                  <w:tr>
                    <w:trPr>
                      <w:trHeight w:val="2230" w:hRule="atLeast"/>
                    </w:trPr>
                    <w:tc>
                      <w:tcPr>
                        <w:tcW w:w="2476" w:type="dxa"/>
                        <w:tcBorders>
                          <w:right w:val="single" w:sz="4" w:space="0" w:color="000000"/>
                        </w:tcBorders>
                      </w:tcPr>
                      <w:p>
                        <w:pPr>
                          <w:pStyle w:val="TableParagraph"/>
                          <w:numPr>
                            <w:ilvl w:val="0"/>
                            <w:numId w:val="14"/>
                          </w:numPr>
                          <w:tabs>
                            <w:tab w:pos="428" w:val="left" w:leader="none"/>
                          </w:tabs>
                          <w:spacing w:line="240" w:lineRule="auto" w:before="0" w:after="0"/>
                          <w:ind w:left="427" w:right="122" w:hanging="227"/>
                          <w:jc w:val="left"/>
                          <w:rPr>
                            <w:sz w:val="20"/>
                          </w:rPr>
                        </w:pPr>
                        <w:r>
                          <w:rPr>
                            <w:sz w:val="20"/>
                          </w:rPr>
                          <w:t>Increase standard</w:t>
                        </w:r>
                        <w:r>
                          <w:rPr>
                            <w:spacing w:val="-10"/>
                            <w:sz w:val="20"/>
                          </w:rPr>
                          <w:t> </w:t>
                        </w:r>
                        <w:r>
                          <w:rPr>
                            <w:sz w:val="20"/>
                          </w:rPr>
                          <w:t>living level</w:t>
                        </w:r>
                      </w:p>
                      <w:p>
                        <w:pPr>
                          <w:pStyle w:val="TableParagraph"/>
                          <w:numPr>
                            <w:ilvl w:val="0"/>
                            <w:numId w:val="14"/>
                          </w:numPr>
                          <w:tabs>
                            <w:tab w:pos="428" w:val="left" w:leader="none"/>
                          </w:tabs>
                          <w:spacing w:line="240" w:lineRule="auto" w:before="0" w:after="0"/>
                          <w:ind w:left="427" w:right="195" w:hanging="227"/>
                          <w:jc w:val="left"/>
                          <w:rPr>
                            <w:sz w:val="20"/>
                          </w:rPr>
                        </w:pPr>
                        <w:r>
                          <w:rPr>
                            <w:sz w:val="20"/>
                          </w:rPr>
                          <w:t>Consolidating the staff component in the technical and </w:t>
                        </w:r>
                        <w:r>
                          <w:rPr>
                            <w:spacing w:val="-3"/>
                            <w:sz w:val="20"/>
                          </w:rPr>
                          <w:t>scientific </w:t>
                        </w:r>
                        <w:r>
                          <w:rPr>
                            <w:sz w:val="20"/>
                          </w:rPr>
                          <w:t>potential of the</w:t>
                        </w:r>
                        <w:r>
                          <w:rPr>
                            <w:spacing w:val="-7"/>
                            <w:sz w:val="20"/>
                          </w:rPr>
                          <w:t> </w:t>
                        </w:r>
                        <w:r>
                          <w:rPr>
                            <w:sz w:val="20"/>
                          </w:rPr>
                          <w:t>region</w:t>
                        </w:r>
                      </w:p>
                      <w:p>
                        <w:pPr>
                          <w:pStyle w:val="TableParagraph"/>
                          <w:numPr>
                            <w:ilvl w:val="0"/>
                            <w:numId w:val="14"/>
                          </w:numPr>
                          <w:tabs>
                            <w:tab w:pos="428" w:val="left" w:leader="none"/>
                          </w:tabs>
                          <w:spacing w:line="240" w:lineRule="auto" w:before="0" w:after="0"/>
                          <w:ind w:left="427" w:right="138" w:hanging="227"/>
                          <w:jc w:val="left"/>
                          <w:rPr>
                            <w:sz w:val="20"/>
                          </w:rPr>
                        </w:pPr>
                        <w:r>
                          <w:rPr>
                            <w:sz w:val="20"/>
                          </w:rPr>
                          <w:t>Attracting</w:t>
                        </w:r>
                        <w:r>
                          <w:rPr>
                            <w:spacing w:val="-9"/>
                            <w:sz w:val="20"/>
                          </w:rPr>
                          <w:t> </w:t>
                        </w:r>
                        <w:r>
                          <w:rPr>
                            <w:sz w:val="20"/>
                          </w:rPr>
                          <w:t>investments; improving</w:t>
                        </w:r>
                      </w:p>
                      <w:p>
                        <w:pPr>
                          <w:pStyle w:val="TableParagraph"/>
                          <w:spacing w:line="232" w:lineRule="exact"/>
                          <w:ind w:left="427"/>
                          <w:rPr>
                            <w:sz w:val="20"/>
                          </w:rPr>
                        </w:pPr>
                        <w:r>
                          <w:rPr>
                            <w:sz w:val="20"/>
                          </w:rPr>
                          <w:t>infrastructure.</w:t>
                        </w:r>
                      </w:p>
                    </w:tc>
                    <w:tc>
                      <w:tcPr>
                        <w:tcW w:w="2345" w:type="dxa"/>
                        <w:tcBorders>
                          <w:left w:val="single" w:sz="4" w:space="0" w:color="000000"/>
                          <w:right w:val="single" w:sz="4" w:space="0" w:color="000000"/>
                        </w:tcBorders>
                        <w:shd w:val="clear" w:color="auto" w:fill="D9D9D9"/>
                      </w:tcPr>
                      <w:p>
                        <w:pPr>
                          <w:pStyle w:val="TableParagraph"/>
                          <w:spacing w:line="240" w:lineRule="auto"/>
                          <w:ind w:left="0"/>
                          <w:rPr>
                            <w:rFonts w:ascii="Times New Roman"/>
                            <w:sz w:val="22"/>
                          </w:rPr>
                        </w:pPr>
                      </w:p>
                    </w:tc>
                    <w:tc>
                      <w:tcPr>
                        <w:tcW w:w="2137" w:type="dxa"/>
                        <w:tcBorders>
                          <w:left w:val="single" w:sz="4" w:space="0" w:color="000000"/>
                        </w:tcBorders>
                      </w:tcPr>
                      <w:p>
                        <w:pPr>
                          <w:pStyle w:val="TableParagraph"/>
                          <w:spacing w:line="236" w:lineRule="exact"/>
                          <w:ind w:left="292"/>
                          <w:rPr>
                            <w:sz w:val="20"/>
                          </w:rPr>
                        </w:pPr>
                        <w:r>
                          <w:rPr>
                            <w:sz w:val="20"/>
                          </w:rPr>
                          <w:t>developments fields</w:t>
                        </w:r>
                      </w:p>
                    </w:tc>
                  </w:tr>
                </w:tbl>
                <w:p>
                  <w:pPr>
                    <w:pStyle w:val="BodyText"/>
                  </w:pPr>
                </w:p>
              </w:txbxContent>
            </v:textbox>
          </v:shape>
        </w:pict>
      </w:r>
      <w:r>
        <w:rPr>
          <w:sz w:val="20"/>
        </w:rPr>
      </w:r>
      <w:r>
        <w:rPr>
          <w:sz w:val="20"/>
        </w:rPr>
        <w:tab/>
      </w:r>
      <w:r>
        <w:rPr>
          <w:sz w:val="20"/>
        </w:rPr>
        <w:pict>
          <v:group style="width:117.5pt;height:111.5pt;mso-position-horizontal-relative:char;mso-position-vertical-relative:line" coordorigin="0,0" coordsize="2350,2230">
            <v:rect style="position:absolute;left:9;top:0;width:2341;height:2230" filled="true" fillcolor="#d9d9d9" stroked="false">
              <v:fill type="solid"/>
            </v:rect>
            <v:line style="position:absolute" from="5,0" to="5,2230" stroked="true" strokeweight=".47998pt" strokecolor="#000000">
              <v:stroke dashstyle="solid"/>
            </v:line>
          </v:group>
        </w:pict>
      </w:r>
      <w:r>
        <w:rPr>
          <w:sz w:val="20"/>
        </w:rPr>
      </w:r>
    </w:p>
    <w:p>
      <w:pPr>
        <w:pStyle w:val="BodyText"/>
        <w:spacing w:before="10"/>
        <w:rPr>
          <w:sz w:val="12"/>
        </w:rPr>
      </w:pPr>
    </w:p>
    <w:p>
      <w:pPr>
        <w:pStyle w:val="Heading5"/>
        <w:spacing w:before="56"/>
        <w:ind w:left="853"/>
      </w:pPr>
      <w:r>
        <w:rPr>
          <w:color w:val="585858"/>
        </w:rPr>
        <w:t>Table 1</w:t>
      </w:r>
      <w:r>
        <w:rPr>
          <w:b w:val="0"/>
          <w:color w:val="585858"/>
        </w:rPr>
        <w:t>: </w:t>
      </w:r>
      <w:r>
        <w:rPr>
          <w:color w:val="585858"/>
        </w:rPr>
        <w:t>Benefits for the Stakeholders</w:t>
      </w:r>
    </w:p>
    <w:p>
      <w:pPr>
        <w:pStyle w:val="BodyText"/>
        <w:rPr>
          <w:b/>
        </w:rPr>
      </w:pPr>
    </w:p>
    <w:p>
      <w:pPr>
        <w:pStyle w:val="BodyText"/>
        <w:spacing w:before="1"/>
        <w:rPr>
          <w:b/>
        </w:rPr>
      </w:pPr>
    </w:p>
    <w:p>
      <w:pPr>
        <w:spacing w:before="0"/>
        <w:ind w:left="853" w:right="0" w:firstLine="0"/>
        <w:jc w:val="left"/>
        <w:rPr>
          <w:b/>
          <w:sz w:val="22"/>
        </w:rPr>
      </w:pPr>
      <w:r>
        <w:rPr>
          <w:b/>
          <w:color w:val="585858"/>
          <w:sz w:val="22"/>
        </w:rPr>
        <w:t>Sustainable energy innovation Eco-Systems: A case Study</w:t>
      </w:r>
    </w:p>
    <w:p>
      <w:pPr>
        <w:pStyle w:val="BodyText"/>
        <w:spacing w:before="1"/>
        <w:ind w:left="853" w:right="618"/>
      </w:pPr>
      <w:r>
        <w:rPr>
          <w:color w:val="585858"/>
        </w:rPr>
        <w:t>Sustainable energy innovation can better be deployed through networks and systems that cross national borders and involve a multitude of actors, from large companies and start-ups to research and policy institutions. Such an initiative is Mission Innovation (MI), an alliance launched at COP21 comprising 22 governments and the EU, representing 80% of global clean energy RD&amp;D and 70% of global GDP. MI members have committed to double their clean energy RD&amp;D spending per year by 2021 and to work to make sustainable energy more widely affordable and scalable. MI focuses on seven specific technology areas and cross-cutting issues to accelerate innovation.</w:t>
      </w:r>
    </w:p>
    <w:p>
      <w:pPr>
        <w:pStyle w:val="BodyText"/>
      </w:pPr>
    </w:p>
    <w:p>
      <w:pPr>
        <w:pStyle w:val="BodyText"/>
        <w:spacing w:before="3"/>
        <w:rPr>
          <w:sz w:val="17"/>
        </w:rPr>
      </w:pPr>
    </w:p>
    <w:p>
      <w:pPr>
        <w:pStyle w:val="Heading1"/>
        <w:numPr>
          <w:ilvl w:val="1"/>
          <w:numId w:val="1"/>
        </w:numPr>
        <w:tabs>
          <w:tab w:pos="986" w:val="left" w:leader="none"/>
        </w:tabs>
        <w:spacing w:line="240" w:lineRule="auto" w:before="1" w:after="0"/>
        <w:ind w:left="985" w:right="0" w:hanging="495"/>
        <w:jc w:val="left"/>
      </w:pPr>
      <w:bookmarkStart w:name="_bookmark12" w:id="23"/>
      <w:bookmarkEnd w:id="23"/>
      <w:r>
        <w:rPr>
          <w:b w:val="0"/>
        </w:rPr>
      </w:r>
      <w:bookmarkStart w:name="_bookmark12" w:id="24"/>
      <w:bookmarkEnd w:id="24"/>
      <w:r>
        <w:rPr>
          <w:color w:val="585858"/>
        </w:rPr>
        <w:t>Ope</w:t>
      </w:r>
      <w:r>
        <w:rPr>
          <w:color w:val="585858"/>
        </w:rPr>
        <w:t>n Philosophy and Intellectual Property</w:t>
      </w:r>
      <w:r>
        <w:rPr>
          <w:color w:val="585858"/>
          <w:spacing w:val="-8"/>
        </w:rPr>
        <w:t> </w:t>
      </w:r>
      <w:r>
        <w:rPr>
          <w:color w:val="585858"/>
        </w:rPr>
        <w:t>Rights</w:t>
      </w:r>
    </w:p>
    <w:p>
      <w:pPr>
        <w:pStyle w:val="BodyText"/>
        <w:spacing w:before="238"/>
        <w:ind w:left="853" w:right="363"/>
      </w:pPr>
      <w:r>
        <w:rPr>
          <w:color w:val="585858"/>
        </w:rPr>
        <w:t>The financing mechanism expected for the LEAP RE (including European Union funding through its H2020 program) would require that each beneficiary comply with the EU rules dedicated to Open Access (OA) and Intellectual Property Rights (IPR). Under Horizon 2020, the legal basis for open access is established in the framework program and its rules for participation. These principles are reflected in specific requirements in the AMGA and the Horizon 2020 work programs. The AMGA provides specific explanations on the Grant Agreement.</w:t>
      </w:r>
    </w:p>
    <w:p>
      <w:pPr>
        <w:pStyle w:val="BodyText"/>
        <w:spacing w:before="122"/>
        <w:ind w:left="853" w:right="660"/>
      </w:pPr>
      <w:r>
        <w:rPr>
          <w:color w:val="585858"/>
        </w:rPr>
        <w:t>Rules on OA and IPR from African side will have to be considered in LEAP-RE too and will become a part of the GA and the CA.</w:t>
      </w:r>
    </w:p>
    <w:p>
      <w:pPr>
        <w:pStyle w:val="BodyText"/>
        <w:spacing w:before="118"/>
        <w:ind w:left="853" w:right="436"/>
      </w:pPr>
      <w:r>
        <w:rPr>
          <w:color w:val="585858"/>
        </w:rPr>
        <w:t>LEAP-RE will adopt the principle that publicly funded research data is a public good, produced in the public interest, which should be made openly available with as few restrictions as possible in a timely and responsible manner that does not harm IPR and privacy of informants.</w:t>
      </w:r>
    </w:p>
    <w:p>
      <w:pPr>
        <w:pStyle w:val="BodyText"/>
        <w:spacing w:before="121"/>
        <w:ind w:left="853" w:right="661"/>
      </w:pPr>
      <w:r>
        <w:rPr>
          <w:color w:val="585858"/>
        </w:rPr>
        <w:t>Additionally, LEAP RE partners could define in the CA further commitments that will be considered necessary to take into account supplementary concerns in regard to above mentioned documents.</w:t>
      </w:r>
    </w:p>
    <w:p>
      <w:pPr>
        <w:pStyle w:val="BodyText"/>
      </w:pPr>
    </w:p>
    <w:p>
      <w:pPr>
        <w:pStyle w:val="BodyText"/>
        <w:spacing w:before="5"/>
        <w:rPr>
          <w:sz w:val="17"/>
        </w:rPr>
      </w:pPr>
    </w:p>
    <w:p>
      <w:pPr>
        <w:pStyle w:val="Heading1"/>
        <w:numPr>
          <w:ilvl w:val="1"/>
          <w:numId w:val="1"/>
        </w:numPr>
        <w:tabs>
          <w:tab w:pos="986" w:val="left" w:leader="none"/>
        </w:tabs>
        <w:spacing w:line="240" w:lineRule="auto" w:before="0" w:after="0"/>
        <w:ind w:left="985" w:right="0" w:hanging="495"/>
        <w:jc w:val="left"/>
      </w:pPr>
      <w:bookmarkStart w:name="_bookmark13" w:id="25"/>
      <w:bookmarkEnd w:id="25"/>
      <w:r>
        <w:rPr>
          <w:b w:val="0"/>
        </w:rPr>
      </w:r>
      <w:bookmarkStart w:name="_bookmark13" w:id="26"/>
      <w:bookmarkEnd w:id="26"/>
      <w:r>
        <w:rPr>
          <w:color w:val="585858"/>
        </w:rPr>
        <w:t>Ass</w:t>
      </w:r>
      <w:r>
        <w:rPr>
          <w:color w:val="585858"/>
        </w:rPr>
        <w:t>ociated</w:t>
      </w:r>
      <w:r>
        <w:rPr>
          <w:color w:val="585858"/>
          <w:spacing w:val="-1"/>
        </w:rPr>
        <w:t> </w:t>
      </w:r>
      <w:r>
        <w:rPr>
          <w:color w:val="585858"/>
        </w:rPr>
        <w:t>Partners</w:t>
      </w:r>
    </w:p>
    <w:p>
      <w:pPr>
        <w:pStyle w:val="BodyText"/>
        <w:spacing w:before="239"/>
        <w:ind w:left="853" w:right="291"/>
      </w:pPr>
      <w:r>
        <w:rPr>
          <w:color w:val="585858"/>
        </w:rPr>
        <w:t>The bigger a project consortium will become the more difficult it will be to coordinate the processes. Therefore it is of the interest of LEAP-RE to keep the consortium of the project as small as possible. That’s why an agreement has to be defined on how to include associated partners who will not be part of the management and coordination processes of the project but e.g. of the funder’s network which contributes to the eligible costs of the project.</w:t>
      </w:r>
    </w:p>
    <w:p>
      <w:pPr>
        <w:pStyle w:val="BodyText"/>
        <w:spacing w:before="121"/>
        <w:ind w:left="853"/>
      </w:pPr>
      <w:r>
        <w:rPr>
          <w:color w:val="585858"/>
        </w:rPr>
        <w:t>In case it would be an EC’s obligation, that the funds, which will have to form the basis for the</w:t>
      </w:r>
    </w:p>
    <w:p>
      <w:pPr>
        <w:pStyle w:val="BodyText"/>
        <w:spacing w:before="1"/>
        <w:ind w:left="853" w:right="317"/>
      </w:pPr>
      <w:r>
        <w:rPr>
          <w:color w:val="585858"/>
        </w:rPr>
        <w:t>calculation of the EC’s contribution to the project, have to be provided only from consortium partners, then the consortium will have to be formed by all contributors. Ideally, LEAP-RE would find a solution together with the EC, that the budget contributions from ‘associated partners’ could be included into the calculation of the eligible costs of the project and hereby of the EC’s Top-up.</w:t>
      </w:r>
    </w:p>
    <w:p>
      <w:pPr>
        <w:spacing w:after="0"/>
        <w:sectPr>
          <w:pgSz w:w="11920" w:h="16850"/>
          <w:pgMar w:header="0" w:footer="805" w:top="1000" w:bottom="1360" w:left="1000" w:right="580"/>
        </w:sectPr>
      </w:pPr>
    </w:p>
    <w:p>
      <w:pPr>
        <w:pStyle w:val="BodyText"/>
        <w:spacing w:before="29"/>
        <w:ind w:left="853" w:right="305"/>
      </w:pPr>
      <w:r>
        <w:rPr>
          <w:color w:val="585858"/>
        </w:rPr>
        <w:t>Another category of ‘associated partners’ could be defined for those, who are not contributing to the eligible costs of the project, but wish to be linked to the LEAP-process in the context of the project and thereafter. Defining the roles of those associated partners might be considered also in the context of the development of the CoSE and the long-term perspective for LEAP-RE (PIMC and KMCF) with basic network mechanisms.</w:t>
      </w:r>
    </w:p>
    <w:p>
      <w:pPr>
        <w:spacing w:after="0"/>
        <w:sectPr>
          <w:pgSz w:w="11920" w:h="16850"/>
          <w:pgMar w:header="0" w:footer="805" w:top="960" w:bottom="1360" w:left="1000" w:right="580"/>
        </w:sectPr>
      </w:pPr>
    </w:p>
    <w:p>
      <w:pPr>
        <w:pStyle w:val="Heading1"/>
        <w:numPr>
          <w:ilvl w:val="1"/>
          <w:numId w:val="1"/>
        </w:numPr>
        <w:tabs>
          <w:tab w:pos="986" w:val="left" w:leader="none"/>
        </w:tabs>
        <w:spacing w:line="240" w:lineRule="auto" w:before="30" w:after="0"/>
        <w:ind w:left="985" w:right="0" w:hanging="495"/>
        <w:jc w:val="left"/>
      </w:pPr>
      <w:bookmarkStart w:name="_bookmark14" w:id="27"/>
      <w:bookmarkEnd w:id="27"/>
      <w:r>
        <w:rPr>
          <w:b w:val="0"/>
        </w:rPr>
      </w:r>
      <w:bookmarkStart w:name="_bookmark14" w:id="28"/>
      <w:bookmarkEnd w:id="28"/>
      <w:r>
        <w:rPr>
          <w:color w:val="585858"/>
        </w:rPr>
        <w:t>Gl</w:t>
      </w:r>
      <w:r>
        <w:rPr>
          <w:color w:val="585858"/>
        </w:rPr>
        <w:t>ossary</w:t>
      </w:r>
    </w:p>
    <w:p>
      <w:pPr>
        <w:pStyle w:val="BodyText"/>
        <w:spacing w:before="4"/>
        <w:rPr>
          <w:b/>
          <w:sz w:val="23"/>
        </w:rPr>
      </w:pPr>
    </w:p>
    <w:tbl>
      <w:tblPr>
        <w:tblW w:w="0" w:type="auto"/>
        <w:jc w:val="left"/>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9"/>
        <w:gridCol w:w="7430"/>
      </w:tblGrid>
      <w:tr>
        <w:trPr>
          <w:trHeight w:val="260" w:hRule="atLeast"/>
        </w:trPr>
        <w:tc>
          <w:tcPr>
            <w:tcW w:w="1159" w:type="dxa"/>
          </w:tcPr>
          <w:p>
            <w:pPr>
              <w:pStyle w:val="TableParagraph"/>
              <w:spacing w:line="225" w:lineRule="exact"/>
              <w:ind w:left="0" w:right="66"/>
              <w:jc w:val="right"/>
              <w:rPr>
                <w:b/>
                <w:sz w:val="22"/>
              </w:rPr>
            </w:pPr>
            <w:r>
              <w:rPr>
                <w:b/>
                <w:color w:val="585858"/>
                <w:sz w:val="22"/>
              </w:rPr>
              <w:t>2iE</w:t>
            </w:r>
          </w:p>
        </w:tc>
        <w:tc>
          <w:tcPr>
            <w:tcW w:w="7430" w:type="dxa"/>
          </w:tcPr>
          <w:p>
            <w:pPr>
              <w:pStyle w:val="TableParagraph"/>
              <w:spacing w:line="225" w:lineRule="exact"/>
              <w:rPr>
                <w:sz w:val="22"/>
              </w:rPr>
            </w:pPr>
            <w:r>
              <w:rPr>
                <w:color w:val="585858"/>
                <w:sz w:val="22"/>
              </w:rPr>
              <w:t>Fondation 2iE Association, Burkina Faso</w:t>
            </w:r>
          </w:p>
        </w:tc>
      </w:tr>
      <w:tr>
        <w:trPr>
          <w:trHeight w:val="300" w:hRule="atLeast"/>
        </w:trPr>
        <w:tc>
          <w:tcPr>
            <w:tcW w:w="1159" w:type="dxa"/>
          </w:tcPr>
          <w:p>
            <w:pPr>
              <w:pStyle w:val="TableParagraph"/>
              <w:ind w:left="0" w:right="66"/>
              <w:jc w:val="right"/>
              <w:rPr>
                <w:b/>
                <w:sz w:val="22"/>
              </w:rPr>
            </w:pPr>
            <w:r>
              <w:rPr>
                <w:b/>
                <w:color w:val="585858"/>
                <w:sz w:val="22"/>
              </w:rPr>
              <w:t>ACU</w:t>
            </w:r>
          </w:p>
        </w:tc>
        <w:tc>
          <w:tcPr>
            <w:tcW w:w="7430" w:type="dxa"/>
          </w:tcPr>
          <w:p>
            <w:pPr>
              <w:pStyle w:val="TableParagraph"/>
              <w:rPr>
                <w:sz w:val="22"/>
              </w:rPr>
            </w:pPr>
            <w:r>
              <w:rPr>
                <w:color w:val="585858"/>
                <w:sz w:val="22"/>
              </w:rPr>
              <w:t>Association of Commonwealth Universities, UK</w:t>
            </w:r>
          </w:p>
        </w:tc>
      </w:tr>
      <w:tr>
        <w:trPr>
          <w:trHeight w:val="300" w:hRule="atLeast"/>
        </w:trPr>
        <w:tc>
          <w:tcPr>
            <w:tcW w:w="1159" w:type="dxa"/>
          </w:tcPr>
          <w:p>
            <w:pPr>
              <w:pStyle w:val="TableParagraph"/>
              <w:ind w:left="0" w:right="67"/>
              <w:jc w:val="right"/>
              <w:rPr>
                <w:b/>
                <w:sz w:val="22"/>
              </w:rPr>
            </w:pPr>
            <w:r>
              <w:rPr>
                <w:b/>
                <w:color w:val="585858"/>
                <w:sz w:val="22"/>
              </w:rPr>
              <w:t>AESG</w:t>
            </w:r>
          </w:p>
        </w:tc>
        <w:tc>
          <w:tcPr>
            <w:tcW w:w="7430" w:type="dxa"/>
          </w:tcPr>
          <w:p>
            <w:pPr>
              <w:pStyle w:val="TableParagraph"/>
              <w:rPr>
                <w:sz w:val="22"/>
              </w:rPr>
            </w:pPr>
            <w:r>
              <w:rPr>
                <w:color w:val="585858"/>
                <w:sz w:val="22"/>
              </w:rPr>
              <w:t>Africa Energy Services Group Ltd., Rwanda</w:t>
            </w:r>
          </w:p>
        </w:tc>
      </w:tr>
      <w:tr>
        <w:trPr>
          <w:trHeight w:val="300" w:hRule="atLeast"/>
        </w:trPr>
        <w:tc>
          <w:tcPr>
            <w:tcW w:w="1159" w:type="dxa"/>
          </w:tcPr>
          <w:p>
            <w:pPr>
              <w:pStyle w:val="TableParagraph"/>
              <w:ind w:left="0" w:right="67"/>
              <w:jc w:val="right"/>
              <w:rPr>
                <w:b/>
                <w:sz w:val="22"/>
              </w:rPr>
            </w:pPr>
            <w:r>
              <w:rPr>
                <w:b/>
                <w:color w:val="585858"/>
                <w:sz w:val="22"/>
              </w:rPr>
              <w:t>AMGA</w:t>
            </w:r>
          </w:p>
        </w:tc>
        <w:tc>
          <w:tcPr>
            <w:tcW w:w="7430" w:type="dxa"/>
          </w:tcPr>
          <w:p>
            <w:pPr>
              <w:pStyle w:val="TableParagraph"/>
              <w:rPr>
                <w:sz w:val="22"/>
              </w:rPr>
            </w:pPr>
            <w:r>
              <w:rPr>
                <w:color w:val="585858"/>
                <w:sz w:val="22"/>
              </w:rPr>
              <w:t>Annotated Model Grant Agreement</w:t>
            </w:r>
          </w:p>
        </w:tc>
      </w:tr>
      <w:tr>
        <w:trPr>
          <w:trHeight w:val="300" w:hRule="atLeast"/>
        </w:trPr>
        <w:tc>
          <w:tcPr>
            <w:tcW w:w="1159" w:type="dxa"/>
          </w:tcPr>
          <w:p>
            <w:pPr>
              <w:pStyle w:val="TableParagraph"/>
              <w:ind w:left="0" w:right="67"/>
              <w:jc w:val="right"/>
              <w:rPr>
                <w:b/>
                <w:sz w:val="22"/>
              </w:rPr>
            </w:pPr>
            <w:r>
              <w:rPr>
                <w:b/>
                <w:color w:val="585858"/>
                <w:sz w:val="22"/>
              </w:rPr>
              <w:t>ANER</w:t>
            </w:r>
          </w:p>
        </w:tc>
        <w:tc>
          <w:tcPr>
            <w:tcW w:w="7430" w:type="dxa"/>
          </w:tcPr>
          <w:p>
            <w:pPr>
              <w:pStyle w:val="TableParagraph"/>
              <w:rPr>
                <w:sz w:val="22"/>
              </w:rPr>
            </w:pPr>
            <w:r>
              <w:rPr>
                <w:color w:val="585858"/>
                <w:sz w:val="22"/>
              </w:rPr>
              <w:t>Agence Nationale pur les Energies Renouvable, Sénégal</w:t>
            </w:r>
          </w:p>
        </w:tc>
      </w:tr>
      <w:tr>
        <w:trPr>
          <w:trHeight w:val="300" w:hRule="atLeast"/>
        </w:trPr>
        <w:tc>
          <w:tcPr>
            <w:tcW w:w="1159" w:type="dxa"/>
          </w:tcPr>
          <w:p>
            <w:pPr>
              <w:pStyle w:val="TableParagraph"/>
              <w:ind w:left="0" w:right="67"/>
              <w:jc w:val="right"/>
              <w:rPr>
                <w:b/>
                <w:sz w:val="22"/>
              </w:rPr>
            </w:pPr>
            <w:r>
              <w:rPr>
                <w:b/>
                <w:color w:val="585858"/>
                <w:sz w:val="22"/>
              </w:rPr>
              <w:t>ANME</w:t>
            </w:r>
          </w:p>
        </w:tc>
        <w:tc>
          <w:tcPr>
            <w:tcW w:w="7430" w:type="dxa"/>
          </w:tcPr>
          <w:p>
            <w:pPr>
              <w:pStyle w:val="TableParagraph"/>
              <w:rPr>
                <w:sz w:val="22"/>
              </w:rPr>
            </w:pPr>
            <w:r>
              <w:rPr>
                <w:color w:val="585858"/>
                <w:sz w:val="22"/>
              </w:rPr>
              <w:t>Agence Tunisienne de la Maitrise de l'Energie; Tunis</w:t>
            </w:r>
          </w:p>
        </w:tc>
      </w:tr>
      <w:tr>
        <w:trPr>
          <w:trHeight w:val="300" w:hRule="atLeast"/>
        </w:trPr>
        <w:tc>
          <w:tcPr>
            <w:tcW w:w="1159" w:type="dxa"/>
          </w:tcPr>
          <w:p>
            <w:pPr>
              <w:pStyle w:val="TableParagraph"/>
              <w:ind w:left="0" w:right="65"/>
              <w:jc w:val="right"/>
              <w:rPr>
                <w:b/>
                <w:sz w:val="22"/>
              </w:rPr>
            </w:pPr>
            <w:r>
              <w:rPr>
                <w:b/>
                <w:color w:val="585858"/>
                <w:sz w:val="22"/>
              </w:rPr>
              <w:t>AU</w:t>
            </w:r>
          </w:p>
        </w:tc>
        <w:tc>
          <w:tcPr>
            <w:tcW w:w="7430" w:type="dxa"/>
          </w:tcPr>
          <w:p>
            <w:pPr>
              <w:pStyle w:val="TableParagraph"/>
              <w:rPr>
                <w:sz w:val="22"/>
              </w:rPr>
            </w:pPr>
            <w:r>
              <w:rPr>
                <w:color w:val="585858"/>
                <w:sz w:val="22"/>
              </w:rPr>
              <w:t>African Union</w:t>
            </w:r>
          </w:p>
        </w:tc>
      </w:tr>
      <w:tr>
        <w:trPr>
          <w:trHeight w:val="552" w:hRule="atLeast"/>
        </w:trPr>
        <w:tc>
          <w:tcPr>
            <w:tcW w:w="1159" w:type="dxa"/>
          </w:tcPr>
          <w:p>
            <w:pPr>
              <w:pStyle w:val="TableParagraph"/>
              <w:ind w:left="0" w:right="67"/>
              <w:jc w:val="right"/>
              <w:rPr>
                <w:b/>
                <w:sz w:val="22"/>
              </w:rPr>
            </w:pPr>
            <w:r>
              <w:rPr>
                <w:b/>
                <w:color w:val="585858"/>
                <w:sz w:val="22"/>
              </w:rPr>
              <w:t>BLE</w:t>
            </w:r>
          </w:p>
        </w:tc>
        <w:tc>
          <w:tcPr>
            <w:tcW w:w="7430" w:type="dxa"/>
          </w:tcPr>
          <w:p>
            <w:pPr>
              <w:pStyle w:val="TableParagraph"/>
              <w:rPr>
                <w:sz w:val="22"/>
              </w:rPr>
            </w:pPr>
            <w:r>
              <w:rPr>
                <w:color w:val="585858"/>
                <w:sz w:val="22"/>
              </w:rPr>
              <w:t>German Federal Office for Agriculture and Food | Bundesanstalt für</w:t>
            </w:r>
          </w:p>
          <w:p>
            <w:pPr>
              <w:pStyle w:val="TableParagraph"/>
              <w:spacing w:line="267" w:lineRule="exact"/>
              <w:rPr>
                <w:sz w:val="22"/>
              </w:rPr>
            </w:pPr>
            <w:r>
              <w:rPr>
                <w:color w:val="585858"/>
                <w:sz w:val="22"/>
              </w:rPr>
              <w:t>Landwirtschaft und Ernährung</w:t>
            </w:r>
          </w:p>
        </w:tc>
      </w:tr>
      <w:tr>
        <w:trPr>
          <w:trHeight w:val="283" w:hRule="atLeast"/>
        </w:trPr>
        <w:tc>
          <w:tcPr>
            <w:tcW w:w="1159" w:type="dxa"/>
          </w:tcPr>
          <w:p>
            <w:pPr>
              <w:pStyle w:val="TableParagraph"/>
              <w:spacing w:line="247" w:lineRule="exact"/>
              <w:ind w:left="0" w:right="66"/>
              <w:jc w:val="right"/>
              <w:rPr>
                <w:b/>
                <w:sz w:val="22"/>
              </w:rPr>
            </w:pPr>
            <w:r>
              <w:rPr>
                <w:b/>
                <w:color w:val="585858"/>
                <w:sz w:val="22"/>
              </w:rPr>
              <w:t>CA</w:t>
            </w:r>
          </w:p>
        </w:tc>
        <w:tc>
          <w:tcPr>
            <w:tcW w:w="7430" w:type="dxa"/>
          </w:tcPr>
          <w:p>
            <w:pPr>
              <w:pStyle w:val="TableParagraph"/>
              <w:spacing w:line="247" w:lineRule="exact"/>
              <w:rPr>
                <w:sz w:val="22"/>
              </w:rPr>
            </w:pPr>
            <w:r>
              <w:rPr>
                <w:color w:val="585858"/>
                <w:sz w:val="22"/>
              </w:rPr>
              <w:t>Consortium Agreement</w:t>
            </w:r>
          </w:p>
        </w:tc>
      </w:tr>
      <w:tr>
        <w:trPr>
          <w:trHeight w:val="300" w:hRule="atLeast"/>
        </w:trPr>
        <w:tc>
          <w:tcPr>
            <w:tcW w:w="1159" w:type="dxa"/>
          </w:tcPr>
          <w:p>
            <w:pPr>
              <w:pStyle w:val="TableParagraph"/>
              <w:spacing w:line="265" w:lineRule="exact"/>
              <w:ind w:left="0" w:right="67"/>
              <w:jc w:val="right"/>
              <w:rPr>
                <w:b/>
                <w:sz w:val="22"/>
              </w:rPr>
            </w:pPr>
            <w:r>
              <w:rPr>
                <w:b/>
                <w:color w:val="585858"/>
                <w:sz w:val="22"/>
              </w:rPr>
              <w:t>CCSE</w:t>
            </w:r>
          </w:p>
        </w:tc>
        <w:tc>
          <w:tcPr>
            <w:tcW w:w="7430" w:type="dxa"/>
          </w:tcPr>
          <w:p>
            <w:pPr>
              <w:pStyle w:val="TableParagraph"/>
              <w:spacing w:line="265" w:lineRule="exact"/>
              <w:rPr>
                <w:sz w:val="22"/>
              </w:rPr>
            </w:pPr>
            <w:r>
              <w:rPr>
                <w:color w:val="585858"/>
                <w:sz w:val="22"/>
              </w:rPr>
              <w:t>Climate Change and Sustainable Energy</w:t>
            </w:r>
          </w:p>
        </w:tc>
      </w:tr>
      <w:tr>
        <w:trPr>
          <w:trHeight w:val="300" w:hRule="atLeast"/>
        </w:trPr>
        <w:tc>
          <w:tcPr>
            <w:tcW w:w="1159" w:type="dxa"/>
          </w:tcPr>
          <w:p>
            <w:pPr>
              <w:pStyle w:val="TableParagraph"/>
              <w:ind w:left="0" w:right="67"/>
              <w:jc w:val="right"/>
              <w:rPr>
                <w:b/>
                <w:sz w:val="22"/>
              </w:rPr>
            </w:pPr>
            <w:r>
              <w:rPr>
                <w:b/>
                <w:color w:val="585858"/>
                <w:sz w:val="22"/>
              </w:rPr>
              <w:t>CEA</w:t>
            </w:r>
          </w:p>
        </w:tc>
        <w:tc>
          <w:tcPr>
            <w:tcW w:w="7430" w:type="dxa"/>
          </w:tcPr>
          <w:p>
            <w:pPr>
              <w:pStyle w:val="TableParagraph"/>
              <w:rPr>
                <w:sz w:val="22"/>
              </w:rPr>
            </w:pPr>
            <w:r>
              <w:rPr>
                <w:color w:val="585858"/>
                <w:sz w:val="22"/>
              </w:rPr>
              <w:t>Commissariat à l'énergie atomique et aux énergies alternatives, France</w:t>
            </w:r>
          </w:p>
        </w:tc>
      </w:tr>
      <w:tr>
        <w:trPr>
          <w:trHeight w:val="300" w:hRule="atLeast"/>
        </w:trPr>
        <w:tc>
          <w:tcPr>
            <w:tcW w:w="1159" w:type="dxa"/>
          </w:tcPr>
          <w:p>
            <w:pPr>
              <w:pStyle w:val="TableParagraph"/>
              <w:ind w:left="0" w:right="67"/>
              <w:jc w:val="right"/>
              <w:rPr>
                <w:b/>
                <w:sz w:val="22"/>
              </w:rPr>
            </w:pPr>
            <w:r>
              <w:rPr>
                <w:b/>
                <w:color w:val="585858"/>
                <w:sz w:val="22"/>
              </w:rPr>
              <w:t>CoI</w:t>
            </w:r>
          </w:p>
        </w:tc>
        <w:tc>
          <w:tcPr>
            <w:tcW w:w="7430" w:type="dxa"/>
          </w:tcPr>
          <w:p>
            <w:pPr>
              <w:pStyle w:val="TableParagraph"/>
              <w:rPr>
                <w:sz w:val="22"/>
              </w:rPr>
            </w:pPr>
            <w:r>
              <w:rPr>
                <w:color w:val="585858"/>
                <w:sz w:val="22"/>
              </w:rPr>
              <w:t>Confirmation of Interest (of those who sent a letter of support before the GA)</w:t>
            </w:r>
          </w:p>
        </w:tc>
      </w:tr>
      <w:tr>
        <w:trPr>
          <w:trHeight w:val="300" w:hRule="atLeast"/>
        </w:trPr>
        <w:tc>
          <w:tcPr>
            <w:tcW w:w="1159" w:type="dxa"/>
          </w:tcPr>
          <w:p>
            <w:pPr>
              <w:pStyle w:val="TableParagraph"/>
              <w:ind w:left="0" w:right="67"/>
              <w:jc w:val="right"/>
              <w:rPr>
                <w:b/>
                <w:sz w:val="22"/>
              </w:rPr>
            </w:pPr>
            <w:r>
              <w:rPr>
                <w:b/>
                <w:color w:val="585858"/>
                <w:sz w:val="22"/>
              </w:rPr>
              <w:t>CSIR</w:t>
            </w:r>
          </w:p>
        </w:tc>
        <w:tc>
          <w:tcPr>
            <w:tcW w:w="7430" w:type="dxa"/>
          </w:tcPr>
          <w:p>
            <w:pPr>
              <w:pStyle w:val="TableParagraph"/>
              <w:rPr>
                <w:sz w:val="22"/>
              </w:rPr>
            </w:pPr>
            <w:r>
              <w:rPr>
                <w:color w:val="585858"/>
                <w:sz w:val="22"/>
              </w:rPr>
              <w:t>Council for Scientific and Industrial Research, South Africa</w:t>
            </w:r>
          </w:p>
        </w:tc>
      </w:tr>
      <w:tr>
        <w:trPr>
          <w:trHeight w:val="300" w:hRule="atLeast"/>
        </w:trPr>
        <w:tc>
          <w:tcPr>
            <w:tcW w:w="1159" w:type="dxa"/>
          </w:tcPr>
          <w:p>
            <w:pPr>
              <w:pStyle w:val="TableParagraph"/>
              <w:ind w:left="0" w:right="69"/>
              <w:jc w:val="right"/>
              <w:rPr>
                <w:b/>
                <w:sz w:val="22"/>
              </w:rPr>
            </w:pPr>
            <w:r>
              <w:rPr>
                <w:b/>
                <w:color w:val="585858"/>
                <w:sz w:val="22"/>
              </w:rPr>
              <w:t>CSP</w:t>
            </w:r>
          </w:p>
        </w:tc>
        <w:tc>
          <w:tcPr>
            <w:tcW w:w="7430" w:type="dxa"/>
          </w:tcPr>
          <w:p>
            <w:pPr>
              <w:pStyle w:val="TableParagraph"/>
              <w:rPr>
                <w:sz w:val="22"/>
              </w:rPr>
            </w:pPr>
            <w:r>
              <w:rPr>
                <w:color w:val="585858"/>
                <w:sz w:val="22"/>
              </w:rPr>
              <w:t>Concentrated Solar Plant</w:t>
            </w:r>
          </w:p>
        </w:tc>
      </w:tr>
      <w:tr>
        <w:trPr>
          <w:trHeight w:val="300" w:hRule="atLeast"/>
        </w:trPr>
        <w:tc>
          <w:tcPr>
            <w:tcW w:w="1159" w:type="dxa"/>
          </w:tcPr>
          <w:p>
            <w:pPr>
              <w:pStyle w:val="TableParagraph"/>
              <w:ind w:left="0" w:right="68"/>
              <w:jc w:val="right"/>
              <w:rPr>
                <w:b/>
                <w:sz w:val="22"/>
              </w:rPr>
            </w:pPr>
            <w:r>
              <w:rPr>
                <w:b/>
                <w:color w:val="585858"/>
                <w:sz w:val="22"/>
              </w:rPr>
              <w:t>DEDEAT</w:t>
            </w:r>
          </w:p>
        </w:tc>
        <w:tc>
          <w:tcPr>
            <w:tcW w:w="7430" w:type="dxa"/>
          </w:tcPr>
          <w:p>
            <w:pPr>
              <w:pStyle w:val="TableParagraph"/>
              <w:rPr>
                <w:sz w:val="22"/>
              </w:rPr>
            </w:pPr>
            <w:r>
              <w:rPr>
                <w:color w:val="585858"/>
                <w:sz w:val="22"/>
              </w:rPr>
              <w:t>Economic Development, Environmental Affairs and Tourism, South Africa</w:t>
            </w:r>
          </w:p>
        </w:tc>
      </w:tr>
      <w:tr>
        <w:trPr>
          <w:trHeight w:val="300" w:hRule="atLeast"/>
        </w:trPr>
        <w:tc>
          <w:tcPr>
            <w:tcW w:w="1159" w:type="dxa"/>
          </w:tcPr>
          <w:p>
            <w:pPr>
              <w:pStyle w:val="TableParagraph"/>
              <w:ind w:left="0" w:right="67"/>
              <w:jc w:val="right"/>
              <w:rPr>
                <w:b/>
                <w:sz w:val="22"/>
              </w:rPr>
            </w:pPr>
            <w:r>
              <w:rPr>
                <w:b/>
                <w:color w:val="585858"/>
                <w:sz w:val="22"/>
              </w:rPr>
              <w:t>DLR</w:t>
            </w:r>
          </w:p>
        </w:tc>
        <w:tc>
          <w:tcPr>
            <w:tcW w:w="7430" w:type="dxa"/>
          </w:tcPr>
          <w:p>
            <w:pPr>
              <w:pStyle w:val="TableParagraph"/>
              <w:rPr>
                <w:sz w:val="22"/>
              </w:rPr>
            </w:pPr>
            <w:r>
              <w:rPr>
                <w:color w:val="585858"/>
                <w:sz w:val="22"/>
              </w:rPr>
              <w:t>German Aerospace Center</w:t>
            </w:r>
          </w:p>
        </w:tc>
      </w:tr>
      <w:tr>
        <w:trPr>
          <w:trHeight w:val="300" w:hRule="atLeast"/>
        </w:trPr>
        <w:tc>
          <w:tcPr>
            <w:tcW w:w="1159" w:type="dxa"/>
          </w:tcPr>
          <w:p>
            <w:pPr>
              <w:pStyle w:val="TableParagraph"/>
              <w:ind w:left="0" w:right="70"/>
              <w:jc w:val="right"/>
              <w:rPr>
                <w:b/>
                <w:sz w:val="22"/>
              </w:rPr>
            </w:pPr>
            <w:r>
              <w:rPr>
                <w:b/>
                <w:color w:val="585858"/>
                <w:sz w:val="22"/>
              </w:rPr>
              <w:t>DLR-PT</w:t>
            </w:r>
          </w:p>
        </w:tc>
        <w:tc>
          <w:tcPr>
            <w:tcW w:w="7430" w:type="dxa"/>
          </w:tcPr>
          <w:p>
            <w:pPr>
              <w:pStyle w:val="TableParagraph"/>
              <w:rPr>
                <w:sz w:val="22"/>
              </w:rPr>
            </w:pPr>
            <w:r>
              <w:rPr>
                <w:color w:val="585858"/>
                <w:sz w:val="22"/>
              </w:rPr>
              <w:t>German Aerospace Center - Project Management Agency</w:t>
            </w:r>
          </w:p>
        </w:tc>
      </w:tr>
      <w:tr>
        <w:trPr>
          <w:trHeight w:val="300" w:hRule="atLeast"/>
        </w:trPr>
        <w:tc>
          <w:tcPr>
            <w:tcW w:w="1159" w:type="dxa"/>
          </w:tcPr>
          <w:p>
            <w:pPr>
              <w:pStyle w:val="TableParagraph"/>
              <w:ind w:left="0" w:right="69"/>
              <w:jc w:val="right"/>
              <w:rPr>
                <w:b/>
                <w:sz w:val="22"/>
              </w:rPr>
            </w:pPr>
            <w:r>
              <w:rPr>
                <w:b/>
                <w:color w:val="585858"/>
                <w:sz w:val="22"/>
              </w:rPr>
              <w:t>DoA</w:t>
            </w:r>
          </w:p>
        </w:tc>
        <w:tc>
          <w:tcPr>
            <w:tcW w:w="7430" w:type="dxa"/>
          </w:tcPr>
          <w:p>
            <w:pPr>
              <w:pStyle w:val="TableParagraph"/>
              <w:rPr>
                <w:sz w:val="22"/>
              </w:rPr>
            </w:pPr>
            <w:r>
              <w:rPr>
                <w:color w:val="585858"/>
                <w:sz w:val="22"/>
              </w:rPr>
              <w:t>Description of Action</w:t>
            </w:r>
          </w:p>
        </w:tc>
      </w:tr>
      <w:tr>
        <w:trPr>
          <w:trHeight w:val="300" w:hRule="atLeast"/>
        </w:trPr>
        <w:tc>
          <w:tcPr>
            <w:tcW w:w="1159" w:type="dxa"/>
          </w:tcPr>
          <w:p>
            <w:pPr>
              <w:pStyle w:val="TableParagraph"/>
              <w:ind w:left="0" w:right="68"/>
              <w:jc w:val="right"/>
              <w:rPr>
                <w:b/>
                <w:sz w:val="22"/>
              </w:rPr>
            </w:pPr>
            <w:r>
              <w:rPr>
                <w:b/>
                <w:color w:val="585858"/>
                <w:sz w:val="22"/>
              </w:rPr>
              <w:t>DoW</w:t>
            </w:r>
          </w:p>
        </w:tc>
        <w:tc>
          <w:tcPr>
            <w:tcW w:w="7430" w:type="dxa"/>
          </w:tcPr>
          <w:p>
            <w:pPr>
              <w:pStyle w:val="TableParagraph"/>
              <w:rPr>
                <w:sz w:val="22"/>
              </w:rPr>
            </w:pPr>
            <w:r>
              <w:rPr>
                <w:color w:val="585858"/>
                <w:sz w:val="22"/>
              </w:rPr>
              <w:t>Description of Work</w:t>
            </w:r>
          </w:p>
        </w:tc>
      </w:tr>
      <w:tr>
        <w:trPr>
          <w:trHeight w:val="300" w:hRule="atLeast"/>
        </w:trPr>
        <w:tc>
          <w:tcPr>
            <w:tcW w:w="1159" w:type="dxa"/>
          </w:tcPr>
          <w:p>
            <w:pPr>
              <w:pStyle w:val="TableParagraph"/>
              <w:ind w:left="0" w:right="70"/>
              <w:jc w:val="right"/>
              <w:rPr>
                <w:b/>
                <w:sz w:val="22"/>
              </w:rPr>
            </w:pPr>
            <w:r>
              <w:rPr>
                <w:b/>
                <w:color w:val="585858"/>
                <w:sz w:val="22"/>
              </w:rPr>
              <w:t>DST</w:t>
            </w:r>
          </w:p>
        </w:tc>
        <w:tc>
          <w:tcPr>
            <w:tcW w:w="7430" w:type="dxa"/>
          </w:tcPr>
          <w:p>
            <w:pPr>
              <w:pStyle w:val="TableParagraph"/>
              <w:rPr>
                <w:sz w:val="22"/>
              </w:rPr>
            </w:pPr>
            <w:r>
              <w:rPr>
                <w:color w:val="585858"/>
                <w:sz w:val="22"/>
              </w:rPr>
              <w:t>Department of Science and Technology, South Africa</w:t>
            </w:r>
          </w:p>
        </w:tc>
      </w:tr>
      <w:tr>
        <w:trPr>
          <w:trHeight w:val="300" w:hRule="atLeast"/>
        </w:trPr>
        <w:tc>
          <w:tcPr>
            <w:tcW w:w="1159" w:type="dxa"/>
          </w:tcPr>
          <w:p>
            <w:pPr>
              <w:pStyle w:val="TableParagraph"/>
              <w:ind w:left="0" w:right="66"/>
              <w:jc w:val="right"/>
              <w:rPr>
                <w:b/>
                <w:sz w:val="22"/>
              </w:rPr>
            </w:pPr>
            <w:r>
              <w:rPr>
                <w:b/>
                <w:color w:val="585858"/>
                <w:sz w:val="22"/>
              </w:rPr>
              <w:t>ECCP</w:t>
            </w:r>
          </w:p>
        </w:tc>
        <w:tc>
          <w:tcPr>
            <w:tcW w:w="7430" w:type="dxa"/>
          </w:tcPr>
          <w:p>
            <w:pPr>
              <w:pStyle w:val="TableParagraph"/>
              <w:rPr>
                <w:sz w:val="22"/>
              </w:rPr>
            </w:pPr>
            <w:r>
              <w:rPr>
                <w:color w:val="585858"/>
                <w:sz w:val="22"/>
              </w:rPr>
              <w:t>Electronic Content Collaboration Platform , PRE-LEAP-RE partners only</w:t>
            </w:r>
          </w:p>
        </w:tc>
      </w:tr>
      <w:tr>
        <w:trPr>
          <w:trHeight w:val="300" w:hRule="atLeast"/>
        </w:trPr>
        <w:tc>
          <w:tcPr>
            <w:tcW w:w="1159" w:type="dxa"/>
          </w:tcPr>
          <w:p>
            <w:pPr>
              <w:pStyle w:val="TableParagraph"/>
              <w:ind w:left="0" w:right="67"/>
              <w:jc w:val="right"/>
              <w:rPr>
                <w:b/>
                <w:sz w:val="22"/>
              </w:rPr>
            </w:pPr>
            <w:r>
              <w:rPr>
                <w:b/>
                <w:color w:val="585858"/>
                <w:sz w:val="22"/>
              </w:rPr>
              <w:t>EERA</w:t>
            </w:r>
          </w:p>
        </w:tc>
        <w:tc>
          <w:tcPr>
            <w:tcW w:w="7430" w:type="dxa"/>
          </w:tcPr>
          <w:p>
            <w:pPr>
              <w:pStyle w:val="TableParagraph"/>
              <w:rPr>
                <w:sz w:val="22"/>
              </w:rPr>
            </w:pPr>
            <w:r>
              <w:rPr>
                <w:color w:val="585858"/>
                <w:sz w:val="22"/>
              </w:rPr>
              <w:t>European Energy Research Alliance</w:t>
            </w:r>
          </w:p>
        </w:tc>
      </w:tr>
      <w:tr>
        <w:trPr>
          <w:trHeight w:val="300" w:hRule="atLeast"/>
        </w:trPr>
        <w:tc>
          <w:tcPr>
            <w:tcW w:w="1159" w:type="dxa"/>
          </w:tcPr>
          <w:p>
            <w:pPr>
              <w:pStyle w:val="TableParagraph"/>
              <w:ind w:left="0" w:right="69"/>
              <w:jc w:val="right"/>
              <w:rPr>
                <w:b/>
                <w:sz w:val="22"/>
              </w:rPr>
            </w:pPr>
            <w:r>
              <w:rPr>
                <w:b/>
                <w:color w:val="585858"/>
                <w:sz w:val="22"/>
              </w:rPr>
              <w:t>EJP</w:t>
            </w:r>
          </w:p>
        </w:tc>
        <w:tc>
          <w:tcPr>
            <w:tcW w:w="7430" w:type="dxa"/>
          </w:tcPr>
          <w:p>
            <w:pPr>
              <w:pStyle w:val="TableParagraph"/>
              <w:rPr>
                <w:sz w:val="22"/>
              </w:rPr>
            </w:pPr>
            <w:r>
              <w:rPr>
                <w:color w:val="585858"/>
                <w:sz w:val="22"/>
              </w:rPr>
              <w:t>European Joint Programming</w:t>
            </w:r>
          </w:p>
        </w:tc>
      </w:tr>
      <w:tr>
        <w:trPr>
          <w:trHeight w:val="300" w:hRule="atLeast"/>
        </w:trPr>
        <w:tc>
          <w:tcPr>
            <w:tcW w:w="1159" w:type="dxa"/>
          </w:tcPr>
          <w:p>
            <w:pPr>
              <w:pStyle w:val="TableParagraph"/>
              <w:ind w:left="0" w:right="67"/>
              <w:jc w:val="right"/>
              <w:rPr>
                <w:b/>
                <w:sz w:val="22"/>
              </w:rPr>
            </w:pPr>
            <w:r>
              <w:rPr>
                <w:b/>
                <w:color w:val="585858"/>
                <w:sz w:val="22"/>
              </w:rPr>
              <w:t>EoI</w:t>
            </w:r>
          </w:p>
        </w:tc>
        <w:tc>
          <w:tcPr>
            <w:tcW w:w="7430" w:type="dxa"/>
          </w:tcPr>
          <w:p>
            <w:pPr>
              <w:pStyle w:val="TableParagraph"/>
              <w:rPr>
                <w:sz w:val="22"/>
              </w:rPr>
            </w:pPr>
            <w:r>
              <w:rPr>
                <w:color w:val="585858"/>
                <w:sz w:val="22"/>
              </w:rPr>
              <w:t>Expression of Interest</w:t>
            </w:r>
          </w:p>
        </w:tc>
      </w:tr>
      <w:tr>
        <w:trPr>
          <w:trHeight w:val="300" w:hRule="atLeast"/>
        </w:trPr>
        <w:tc>
          <w:tcPr>
            <w:tcW w:w="1159" w:type="dxa"/>
          </w:tcPr>
          <w:p>
            <w:pPr>
              <w:pStyle w:val="TableParagraph"/>
              <w:ind w:left="0" w:right="68"/>
              <w:jc w:val="right"/>
              <w:rPr>
                <w:b/>
                <w:sz w:val="22"/>
              </w:rPr>
            </w:pPr>
            <w:r>
              <w:rPr>
                <w:b/>
                <w:color w:val="585858"/>
                <w:sz w:val="22"/>
              </w:rPr>
              <w:t>EU</w:t>
            </w:r>
          </w:p>
        </w:tc>
        <w:tc>
          <w:tcPr>
            <w:tcW w:w="7430" w:type="dxa"/>
          </w:tcPr>
          <w:p>
            <w:pPr>
              <w:pStyle w:val="TableParagraph"/>
              <w:rPr>
                <w:sz w:val="22"/>
              </w:rPr>
            </w:pPr>
            <w:r>
              <w:rPr>
                <w:color w:val="585858"/>
                <w:sz w:val="22"/>
              </w:rPr>
              <w:t>European Union</w:t>
            </w:r>
          </w:p>
        </w:tc>
      </w:tr>
      <w:tr>
        <w:trPr>
          <w:trHeight w:val="300" w:hRule="atLeast"/>
        </w:trPr>
        <w:tc>
          <w:tcPr>
            <w:tcW w:w="1159" w:type="dxa"/>
          </w:tcPr>
          <w:p>
            <w:pPr>
              <w:pStyle w:val="TableParagraph"/>
              <w:ind w:left="0" w:right="67"/>
              <w:jc w:val="right"/>
              <w:rPr>
                <w:b/>
                <w:sz w:val="22"/>
              </w:rPr>
            </w:pPr>
            <w:r>
              <w:rPr>
                <w:b/>
                <w:color w:val="585858"/>
                <w:sz w:val="22"/>
              </w:rPr>
              <w:t>FCT</w:t>
            </w:r>
          </w:p>
        </w:tc>
        <w:tc>
          <w:tcPr>
            <w:tcW w:w="7430" w:type="dxa"/>
          </w:tcPr>
          <w:p>
            <w:pPr>
              <w:pStyle w:val="TableParagraph"/>
              <w:rPr>
                <w:sz w:val="22"/>
              </w:rPr>
            </w:pPr>
            <w:r>
              <w:rPr>
                <w:color w:val="585858"/>
                <w:sz w:val="22"/>
              </w:rPr>
              <w:t>Fundação para a Ciência e a Tecnologia, Portugal</w:t>
            </w:r>
          </w:p>
        </w:tc>
      </w:tr>
      <w:tr>
        <w:trPr>
          <w:trHeight w:val="300" w:hRule="atLeast"/>
        </w:trPr>
        <w:tc>
          <w:tcPr>
            <w:tcW w:w="1159" w:type="dxa"/>
          </w:tcPr>
          <w:p>
            <w:pPr>
              <w:pStyle w:val="TableParagraph"/>
              <w:ind w:left="0" w:right="69"/>
              <w:jc w:val="right"/>
              <w:rPr>
                <w:b/>
                <w:sz w:val="22"/>
              </w:rPr>
            </w:pPr>
            <w:r>
              <w:rPr>
                <w:b/>
                <w:color w:val="585858"/>
                <w:sz w:val="22"/>
              </w:rPr>
              <w:t>FNSSA</w:t>
            </w:r>
          </w:p>
        </w:tc>
        <w:tc>
          <w:tcPr>
            <w:tcW w:w="7430" w:type="dxa"/>
          </w:tcPr>
          <w:p>
            <w:pPr>
              <w:pStyle w:val="TableParagraph"/>
              <w:rPr>
                <w:sz w:val="22"/>
              </w:rPr>
            </w:pPr>
            <w:r>
              <w:rPr>
                <w:color w:val="585858"/>
                <w:sz w:val="22"/>
              </w:rPr>
              <w:t>Food and Nutrition Security and Sustainable Agriculture</w:t>
            </w:r>
          </w:p>
        </w:tc>
      </w:tr>
      <w:tr>
        <w:trPr>
          <w:trHeight w:val="300" w:hRule="atLeast"/>
        </w:trPr>
        <w:tc>
          <w:tcPr>
            <w:tcW w:w="1159" w:type="dxa"/>
          </w:tcPr>
          <w:p>
            <w:pPr>
              <w:pStyle w:val="TableParagraph"/>
              <w:ind w:left="0" w:right="66"/>
              <w:jc w:val="right"/>
              <w:rPr>
                <w:b/>
                <w:sz w:val="22"/>
              </w:rPr>
            </w:pPr>
            <w:r>
              <w:rPr>
                <w:b/>
                <w:color w:val="585858"/>
                <w:sz w:val="22"/>
              </w:rPr>
              <w:t>GA</w:t>
            </w:r>
          </w:p>
        </w:tc>
        <w:tc>
          <w:tcPr>
            <w:tcW w:w="7430" w:type="dxa"/>
          </w:tcPr>
          <w:p>
            <w:pPr>
              <w:pStyle w:val="TableParagraph"/>
              <w:rPr>
                <w:sz w:val="22"/>
              </w:rPr>
            </w:pPr>
            <w:r>
              <w:rPr>
                <w:color w:val="585858"/>
                <w:sz w:val="22"/>
              </w:rPr>
              <w:t>Grant Agreement; also AMAGA</w:t>
            </w:r>
          </w:p>
        </w:tc>
      </w:tr>
      <w:tr>
        <w:trPr>
          <w:trHeight w:val="553" w:hRule="atLeast"/>
        </w:trPr>
        <w:tc>
          <w:tcPr>
            <w:tcW w:w="1159" w:type="dxa"/>
          </w:tcPr>
          <w:p>
            <w:pPr>
              <w:pStyle w:val="TableParagraph"/>
              <w:ind w:left="0" w:right="66"/>
              <w:jc w:val="right"/>
              <w:rPr>
                <w:b/>
                <w:sz w:val="22"/>
              </w:rPr>
            </w:pPr>
            <w:r>
              <w:rPr>
                <w:b/>
                <w:color w:val="585858"/>
                <w:sz w:val="22"/>
              </w:rPr>
              <w:t>GC</w:t>
            </w:r>
          </w:p>
        </w:tc>
        <w:tc>
          <w:tcPr>
            <w:tcW w:w="7430" w:type="dxa"/>
          </w:tcPr>
          <w:p>
            <w:pPr>
              <w:pStyle w:val="TableParagraph"/>
              <w:spacing w:line="240" w:lineRule="auto"/>
              <w:ind w:right="214"/>
              <w:rPr>
                <w:sz w:val="22"/>
              </w:rPr>
            </w:pPr>
            <w:r>
              <w:rPr>
                <w:color w:val="585858"/>
                <w:sz w:val="22"/>
              </w:rPr>
              <w:t>Group of Contributors (Ministries, funding agencies, public and private research institutions and actors from the private sector like e.g.entrepreneurs)</w:t>
            </w:r>
          </w:p>
        </w:tc>
      </w:tr>
      <w:tr>
        <w:trPr>
          <w:trHeight w:val="284" w:hRule="atLeast"/>
        </w:trPr>
        <w:tc>
          <w:tcPr>
            <w:tcW w:w="1159" w:type="dxa"/>
          </w:tcPr>
          <w:p>
            <w:pPr>
              <w:pStyle w:val="TableParagraph"/>
              <w:spacing w:line="249" w:lineRule="exact"/>
              <w:ind w:left="0" w:right="66"/>
              <w:jc w:val="right"/>
              <w:rPr>
                <w:b/>
                <w:sz w:val="22"/>
              </w:rPr>
            </w:pPr>
            <w:r>
              <w:rPr>
                <w:b/>
                <w:color w:val="585858"/>
                <w:sz w:val="22"/>
              </w:rPr>
              <w:t>HLPD</w:t>
            </w:r>
          </w:p>
        </w:tc>
        <w:tc>
          <w:tcPr>
            <w:tcW w:w="7430" w:type="dxa"/>
          </w:tcPr>
          <w:p>
            <w:pPr>
              <w:pStyle w:val="TableParagraph"/>
              <w:spacing w:line="249" w:lineRule="exact"/>
              <w:rPr>
                <w:sz w:val="22"/>
              </w:rPr>
            </w:pPr>
            <w:r>
              <w:rPr>
                <w:color w:val="585858"/>
                <w:sz w:val="22"/>
              </w:rPr>
              <w:t>Hich Level Policy Dialogue</w:t>
            </w:r>
          </w:p>
        </w:tc>
      </w:tr>
      <w:tr>
        <w:trPr>
          <w:trHeight w:val="300" w:hRule="atLeast"/>
        </w:trPr>
        <w:tc>
          <w:tcPr>
            <w:tcW w:w="1159" w:type="dxa"/>
          </w:tcPr>
          <w:p>
            <w:pPr>
              <w:pStyle w:val="TableParagraph"/>
              <w:spacing w:line="265" w:lineRule="exact"/>
              <w:ind w:left="0" w:right="65"/>
              <w:jc w:val="right"/>
              <w:rPr>
                <w:b/>
                <w:sz w:val="22"/>
              </w:rPr>
            </w:pPr>
            <w:r>
              <w:rPr>
                <w:b/>
                <w:color w:val="585858"/>
                <w:sz w:val="22"/>
              </w:rPr>
              <w:t>IE</w:t>
            </w:r>
          </w:p>
        </w:tc>
        <w:tc>
          <w:tcPr>
            <w:tcW w:w="7430" w:type="dxa"/>
          </w:tcPr>
          <w:p>
            <w:pPr>
              <w:pStyle w:val="TableParagraph"/>
              <w:spacing w:line="265" w:lineRule="exact"/>
              <w:rPr>
                <w:sz w:val="22"/>
              </w:rPr>
            </w:pPr>
            <w:r>
              <w:rPr>
                <w:color w:val="585858"/>
                <w:sz w:val="22"/>
              </w:rPr>
              <w:t>KIC Innoenergy SE, Belgium</w:t>
            </w:r>
          </w:p>
        </w:tc>
      </w:tr>
      <w:tr>
        <w:trPr>
          <w:trHeight w:val="300" w:hRule="atLeast"/>
        </w:trPr>
        <w:tc>
          <w:tcPr>
            <w:tcW w:w="1159" w:type="dxa"/>
          </w:tcPr>
          <w:p>
            <w:pPr>
              <w:pStyle w:val="TableParagraph"/>
              <w:ind w:left="0" w:right="67"/>
              <w:jc w:val="right"/>
              <w:rPr>
                <w:b/>
                <w:sz w:val="22"/>
              </w:rPr>
            </w:pPr>
            <w:r>
              <w:rPr>
                <w:b/>
                <w:color w:val="585858"/>
                <w:sz w:val="22"/>
              </w:rPr>
              <w:t>IPR</w:t>
            </w:r>
          </w:p>
        </w:tc>
        <w:tc>
          <w:tcPr>
            <w:tcW w:w="7430" w:type="dxa"/>
          </w:tcPr>
          <w:p>
            <w:pPr>
              <w:pStyle w:val="TableParagraph"/>
              <w:rPr>
                <w:sz w:val="22"/>
              </w:rPr>
            </w:pPr>
            <w:r>
              <w:rPr>
                <w:color w:val="585858"/>
                <w:sz w:val="22"/>
              </w:rPr>
              <w:t>Intellectual Property Rights</w:t>
            </w:r>
          </w:p>
        </w:tc>
      </w:tr>
      <w:tr>
        <w:trPr>
          <w:trHeight w:val="300" w:hRule="atLeast"/>
        </w:trPr>
        <w:tc>
          <w:tcPr>
            <w:tcW w:w="1159" w:type="dxa"/>
          </w:tcPr>
          <w:p>
            <w:pPr>
              <w:pStyle w:val="TableParagraph"/>
              <w:ind w:left="0" w:right="69"/>
              <w:jc w:val="right"/>
              <w:rPr>
                <w:b/>
                <w:sz w:val="22"/>
              </w:rPr>
            </w:pPr>
            <w:r>
              <w:rPr>
                <w:b/>
                <w:color w:val="585858"/>
                <w:sz w:val="22"/>
              </w:rPr>
              <w:t>JYU</w:t>
            </w:r>
          </w:p>
        </w:tc>
        <w:tc>
          <w:tcPr>
            <w:tcW w:w="7430" w:type="dxa"/>
          </w:tcPr>
          <w:p>
            <w:pPr>
              <w:pStyle w:val="TableParagraph"/>
              <w:rPr>
                <w:sz w:val="22"/>
              </w:rPr>
            </w:pPr>
            <w:r>
              <w:rPr>
                <w:color w:val="585858"/>
                <w:sz w:val="22"/>
              </w:rPr>
              <w:t>Jyväskylä Yliopisto/University of Jyväskylä, Finland</w:t>
            </w:r>
          </w:p>
        </w:tc>
      </w:tr>
      <w:tr>
        <w:trPr>
          <w:trHeight w:val="300" w:hRule="atLeast"/>
        </w:trPr>
        <w:tc>
          <w:tcPr>
            <w:tcW w:w="1159" w:type="dxa"/>
          </w:tcPr>
          <w:p>
            <w:pPr>
              <w:pStyle w:val="TableParagraph"/>
              <w:ind w:left="0" w:right="66"/>
              <w:jc w:val="right"/>
              <w:rPr>
                <w:b/>
                <w:sz w:val="22"/>
              </w:rPr>
            </w:pPr>
            <w:r>
              <w:rPr>
                <w:b/>
                <w:color w:val="585858"/>
                <w:sz w:val="22"/>
              </w:rPr>
              <w:t>KINNO</w:t>
            </w:r>
          </w:p>
        </w:tc>
        <w:tc>
          <w:tcPr>
            <w:tcW w:w="7430" w:type="dxa"/>
          </w:tcPr>
          <w:p>
            <w:pPr>
              <w:pStyle w:val="TableParagraph"/>
              <w:rPr>
                <w:sz w:val="22"/>
              </w:rPr>
            </w:pPr>
            <w:r>
              <w:rPr>
                <w:color w:val="585858"/>
                <w:sz w:val="22"/>
              </w:rPr>
              <w:t>Knowledge &amp; Innovation Consultanta Symvouleftiki Monoprosopi Epe, Greece</w:t>
            </w:r>
          </w:p>
        </w:tc>
      </w:tr>
      <w:tr>
        <w:trPr>
          <w:trHeight w:val="300" w:hRule="atLeast"/>
        </w:trPr>
        <w:tc>
          <w:tcPr>
            <w:tcW w:w="1159" w:type="dxa"/>
          </w:tcPr>
          <w:p>
            <w:pPr>
              <w:pStyle w:val="TableParagraph"/>
              <w:ind w:left="0" w:right="68"/>
              <w:jc w:val="right"/>
              <w:rPr>
                <w:b/>
                <w:sz w:val="22"/>
              </w:rPr>
            </w:pPr>
            <w:r>
              <w:rPr>
                <w:b/>
                <w:color w:val="585858"/>
                <w:sz w:val="22"/>
              </w:rPr>
              <w:t>KMCF</w:t>
            </w:r>
          </w:p>
        </w:tc>
        <w:tc>
          <w:tcPr>
            <w:tcW w:w="7430" w:type="dxa"/>
          </w:tcPr>
          <w:p>
            <w:pPr>
              <w:pStyle w:val="TableParagraph"/>
              <w:rPr>
                <w:sz w:val="22"/>
              </w:rPr>
            </w:pPr>
            <w:r>
              <w:rPr>
                <w:color w:val="585858"/>
                <w:sz w:val="22"/>
              </w:rPr>
              <w:t>Knowledge Management and Communication Framework</w:t>
            </w:r>
          </w:p>
        </w:tc>
      </w:tr>
      <w:tr>
        <w:trPr>
          <w:trHeight w:val="300" w:hRule="atLeast"/>
        </w:trPr>
        <w:tc>
          <w:tcPr>
            <w:tcW w:w="1159" w:type="dxa"/>
          </w:tcPr>
          <w:p>
            <w:pPr>
              <w:pStyle w:val="TableParagraph"/>
              <w:ind w:left="0" w:right="66"/>
              <w:jc w:val="right"/>
              <w:rPr>
                <w:b/>
                <w:sz w:val="22"/>
              </w:rPr>
            </w:pPr>
            <w:r>
              <w:rPr>
                <w:b/>
                <w:color w:val="585858"/>
                <w:sz w:val="22"/>
              </w:rPr>
              <w:t>LEAP</w:t>
            </w:r>
          </w:p>
        </w:tc>
        <w:tc>
          <w:tcPr>
            <w:tcW w:w="7430" w:type="dxa"/>
          </w:tcPr>
          <w:p>
            <w:pPr>
              <w:pStyle w:val="TableParagraph"/>
              <w:rPr>
                <w:sz w:val="22"/>
              </w:rPr>
            </w:pPr>
            <w:r>
              <w:rPr>
                <w:color w:val="585858"/>
                <w:sz w:val="22"/>
              </w:rPr>
              <w:t>Long-term Joint EU-AU Research and Innovation Partnership</w:t>
            </w:r>
          </w:p>
        </w:tc>
      </w:tr>
      <w:tr>
        <w:trPr>
          <w:trHeight w:val="553" w:hRule="atLeast"/>
        </w:trPr>
        <w:tc>
          <w:tcPr>
            <w:tcW w:w="1159" w:type="dxa"/>
          </w:tcPr>
          <w:p>
            <w:pPr>
              <w:pStyle w:val="TableParagraph"/>
              <w:ind w:left="0" w:right="67"/>
              <w:jc w:val="right"/>
              <w:rPr>
                <w:b/>
                <w:sz w:val="22"/>
              </w:rPr>
            </w:pPr>
            <w:r>
              <w:rPr>
                <w:b/>
                <w:color w:val="585858"/>
                <w:sz w:val="22"/>
              </w:rPr>
              <w:t>LEAP-Agri</w:t>
            </w:r>
          </w:p>
        </w:tc>
        <w:tc>
          <w:tcPr>
            <w:tcW w:w="7430" w:type="dxa"/>
          </w:tcPr>
          <w:p>
            <w:pPr>
              <w:pStyle w:val="TableParagraph"/>
              <w:spacing w:line="240" w:lineRule="auto"/>
              <w:ind w:right="182"/>
              <w:rPr>
                <w:sz w:val="22"/>
              </w:rPr>
            </w:pPr>
            <w:r>
              <w:rPr>
                <w:color w:val="585858"/>
                <w:sz w:val="22"/>
              </w:rPr>
              <w:t>Long-term Joint EU-AU Research and Innovation Partnership on FNSSA (ERA-Net Cofund)</w:t>
            </w:r>
          </w:p>
        </w:tc>
      </w:tr>
      <w:tr>
        <w:trPr>
          <w:trHeight w:val="537" w:hRule="atLeast"/>
        </w:trPr>
        <w:tc>
          <w:tcPr>
            <w:tcW w:w="1159" w:type="dxa"/>
          </w:tcPr>
          <w:p>
            <w:pPr>
              <w:pStyle w:val="TableParagraph"/>
              <w:spacing w:line="249" w:lineRule="exact"/>
              <w:ind w:left="0" w:right="68"/>
              <w:jc w:val="right"/>
              <w:rPr>
                <w:b/>
                <w:sz w:val="22"/>
              </w:rPr>
            </w:pPr>
            <w:r>
              <w:rPr>
                <w:b/>
                <w:color w:val="585858"/>
                <w:sz w:val="22"/>
              </w:rPr>
              <w:t>LEAP-RE</w:t>
            </w:r>
          </w:p>
        </w:tc>
        <w:tc>
          <w:tcPr>
            <w:tcW w:w="7430" w:type="dxa"/>
          </w:tcPr>
          <w:p>
            <w:pPr>
              <w:pStyle w:val="TableParagraph"/>
              <w:spacing w:line="249" w:lineRule="exact"/>
              <w:rPr>
                <w:sz w:val="22"/>
              </w:rPr>
            </w:pPr>
            <w:r>
              <w:rPr>
                <w:color w:val="585858"/>
                <w:sz w:val="22"/>
              </w:rPr>
              <w:t>Long-term Joint EU-AU Research and Innovation Partnership on Renewable</w:t>
            </w:r>
          </w:p>
          <w:p>
            <w:pPr>
              <w:pStyle w:val="TableParagraph"/>
              <w:spacing w:line="240" w:lineRule="auto"/>
              <w:rPr>
                <w:sz w:val="22"/>
              </w:rPr>
            </w:pPr>
            <w:r>
              <w:rPr>
                <w:color w:val="585858"/>
                <w:sz w:val="22"/>
              </w:rPr>
              <w:t>Energy (RIA)</w:t>
            </w:r>
          </w:p>
        </w:tc>
      </w:tr>
      <w:tr>
        <w:trPr>
          <w:trHeight w:val="284" w:hRule="atLeast"/>
        </w:trPr>
        <w:tc>
          <w:tcPr>
            <w:tcW w:w="1159" w:type="dxa"/>
          </w:tcPr>
          <w:p>
            <w:pPr>
              <w:pStyle w:val="TableParagraph"/>
              <w:spacing w:line="249" w:lineRule="exact"/>
              <w:ind w:left="0" w:right="68"/>
              <w:jc w:val="right"/>
              <w:rPr>
                <w:b/>
                <w:sz w:val="22"/>
              </w:rPr>
            </w:pPr>
            <w:r>
              <w:rPr>
                <w:b/>
                <w:color w:val="585858"/>
                <w:sz w:val="22"/>
              </w:rPr>
              <w:t>LGI</w:t>
            </w:r>
          </w:p>
        </w:tc>
        <w:tc>
          <w:tcPr>
            <w:tcW w:w="7430" w:type="dxa"/>
          </w:tcPr>
          <w:p>
            <w:pPr>
              <w:pStyle w:val="TableParagraph"/>
              <w:spacing w:line="249" w:lineRule="exact"/>
              <w:rPr>
                <w:sz w:val="22"/>
              </w:rPr>
            </w:pPr>
            <w:r>
              <w:rPr>
                <w:color w:val="585858"/>
                <w:sz w:val="22"/>
              </w:rPr>
              <w:t>LGI Consulting, France</w:t>
            </w:r>
          </w:p>
        </w:tc>
      </w:tr>
      <w:tr>
        <w:trPr>
          <w:trHeight w:val="300" w:hRule="atLeast"/>
        </w:trPr>
        <w:tc>
          <w:tcPr>
            <w:tcW w:w="1159" w:type="dxa"/>
          </w:tcPr>
          <w:p>
            <w:pPr>
              <w:pStyle w:val="TableParagraph"/>
              <w:ind w:left="0" w:right="68"/>
              <w:jc w:val="right"/>
              <w:rPr>
                <w:b/>
                <w:sz w:val="22"/>
              </w:rPr>
            </w:pPr>
            <w:r>
              <w:rPr>
                <w:b/>
                <w:color w:val="585858"/>
                <w:sz w:val="22"/>
              </w:rPr>
              <w:t>MESRS</w:t>
            </w:r>
          </w:p>
        </w:tc>
        <w:tc>
          <w:tcPr>
            <w:tcW w:w="7430" w:type="dxa"/>
          </w:tcPr>
          <w:p>
            <w:pPr>
              <w:pStyle w:val="TableParagraph"/>
              <w:rPr>
                <w:sz w:val="22"/>
              </w:rPr>
            </w:pPr>
            <w:r>
              <w:rPr>
                <w:color w:val="585858"/>
                <w:sz w:val="22"/>
              </w:rPr>
              <w:t>Ministry of Higher Education and Scientific Research, Algeria</w:t>
            </w:r>
          </w:p>
        </w:tc>
      </w:tr>
      <w:tr>
        <w:trPr>
          <w:trHeight w:val="300" w:hRule="atLeast"/>
        </w:trPr>
        <w:tc>
          <w:tcPr>
            <w:tcW w:w="1159" w:type="dxa"/>
          </w:tcPr>
          <w:p>
            <w:pPr>
              <w:pStyle w:val="TableParagraph"/>
              <w:ind w:left="0" w:right="71"/>
              <w:jc w:val="right"/>
              <w:rPr>
                <w:b/>
                <w:sz w:val="22"/>
              </w:rPr>
            </w:pPr>
            <w:r>
              <w:rPr>
                <w:b/>
                <w:color w:val="585858"/>
                <w:sz w:val="22"/>
              </w:rPr>
              <w:t>MI</w:t>
            </w:r>
          </w:p>
        </w:tc>
        <w:tc>
          <w:tcPr>
            <w:tcW w:w="7430" w:type="dxa"/>
          </w:tcPr>
          <w:p>
            <w:pPr>
              <w:pStyle w:val="TableParagraph"/>
              <w:rPr>
                <w:sz w:val="22"/>
              </w:rPr>
            </w:pPr>
            <w:r>
              <w:rPr>
                <w:color w:val="585858"/>
                <w:sz w:val="22"/>
              </w:rPr>
              <w:t>Mission Innovation</w:t>
            </w:r>
          </w:p>
        </w:tc>
      </w:tr>
      <w:tr>
        <w:trPr>
          <w:trHeight w:val="300" w:hRule="atLeast"/>
        </w:trPr>
        <w:tc>
          <w:tcPr>
            <w:tcW w:w="1159" w:type="dxa"/>
          </w:tcPr>
          <w:p>
            <w:pPr>
              <w:pStyle w:val="TableParagraph"/>
              <w:ind w:left="0" w:right="66"/>
              <w:jc w:val="right"/>
              <w:rPr>
                <w:b/>
                <w:sz w:val="22"/>
              </w:rPr>
            </w:pPr>
            <w:r>
              <w:rPr>
                <w:b/>
                <w:color w:val="585858"/>
                <w:sz w:val="22"/>
              </w:rPr>
              <w:t>NRF</w:t>
            </w:r>
          </w:p>
        </w:tc>
        <w:tc>
          <w:tcPr>
            <w:tcW w:w="7430" w:type="dxa"/>
          </w:tcPr>
          <w:p>
            <w:pPr>
              <w:pStyle w:val="TableParagraph"/>
              <w:rPr>
                <w:sz w:val="22"/>
              </w:rPr>
            </w:pPr>
            <w:r>
              <w:rPr>
                <w:color w:val="585858"/>
                <w:sz w:val="22"/>
              </w:rPr>
              <w:t>National Research Foundation, South Africa</w:t>
            </w:r>
          </w:p>
        </w:tc>
      </w:tr>
      <w:tr>
        <w:trPr>
          <w:trHeight w:val="260" w:hRule="atLeast"/>
        </w:trPr>
        <w:tc>
          <w:tcPr>
            <w:tcW w:w="1159" w:type="dxa"/>
          </w:tcPr>
          <w:p>
            <w:pPr>
              <w:pStyle w:val="TableParagraph"/>
              <w:spacing w:line="240" w:lineRule="exact"/>
              <w:ind w:left="0" w:right="66"/>
              <w:jc w:val="right"/>
              <w:rPr>
                <w:b/>
                <w:sz w:val="22"/>
              </w:rPr>
            </w:pPr>
            <w:r>
              <w:rPr>
                <w:b/>
                <w:color w:val="585858"/>
                <w:sz w:val="22"/>
              </w:rPr>
              <w:t>NWO</w:t>
            </w:r>
          </w:p>
        </w:tc>
        <w:tc>
          <w:tcPr>
            <w:tcW w:w="7430" w:type="dxa"/>
          </w:tcPr>
          <w:p>
            <w:pPr>
              <w:pStyle w:val="TableParagraph"/>
              <w:spacing w:line="240" w:lineRule="exact"/>
              <w:rPr>
                <w:sz w:val="22"/>
              </w:rPr>
            </w:pPr>
            <w:r>
              <w:rPr>
                <w:color w:val="585858"/>
                <w:sz w:val="22"/>
              </w:rPr>
              <w:t>Netherlands Organisation for Scientific Research</w:t>
            </w:r>
          </w:p>
        </w:tc>
      </w:tr>
    </w:tbl>
    <w:p>
      <w:pPr>
        <w:spacing w:after="0" w:line="240" w:lineRule="exact"/>
        <w:rPr>
          <w:sz w:val="22"/>
        </w:rPr>
        <w:sectPr>
          <w:pgSz w:w="11920" w:h="16850"/>
          <w:pgMar w:header="0" w:footer="805" w:top="960" w:bottom="1360" w:left="1000" w:right="580"/>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5"/>
        <w:gridCol w:w="7370"/>
      </w:tblGrid>
      <w:tr>
        <w:trPr>
          <w:trHeight w:val="260" w:hRule="atLeast"/>
        </w:trPr>
        <w:tc>
          <w:tcPr>
            <w:tcW w:w="1435" w:type="dxa"/>
          </w:tcPr>
          <w:p>
            <w:pPr>
              <w:pStyle w:val="TableParagraph"/>
              <w:spacing w:line="218" w:lineRule="exact"/>
              <w:ind w:left="0" w:right="70"/>
              <w:jc w:val="right"/>
              <w:rPr>
                <w:b/>
                <w:sz w:val="22"/>
              </w:rPr>
            </w:pPr>
            <w:r>
              <w:rPr>
                <w:b/>
                <w:color w:val="585858"/>
                <w:sz w:val="22"/>
              </w:rPr>
              <w:t>OA</w:t>
            </w:r>
          </w:p>
        </w:tc>
        <w:tc>
          <w:tcPr>
            <w:tcW w:w="7370" w:type="dxa"/>
          </w:tcPr>
          <w:p>
            <w:pPr>
              <w:pStyle w:val="TableParagraph"/>
              <w:spacing w:line="218" w:lineRule="exact"/>
              <w:rPr>
                <w:sz w:val="22"/>
              </w:rPr>
            </w:pPr>
            <w:r>
              <w:rPr>
                <w:color w:val="585858"/>
                <w:sz w:val="22"/>
              </w:rPr>
              <w:t>Open Access</w:t>
            </w:r>
          </w:p>
        </w:tc>
      </w:tr>
      <w:tr>
        <w:trPr>
          <w:trHeight w:val="300" w:hRule="atLeast"/>
        </w:trPr>
        <w:tc>
          <w:tcPr>
            <w:tcW w:w="1435" w:type="dxa"/>
          </w:tcPr>
          <w:p>
            <w:pPr>
              <w:pStyle w:val="TableParagraph"/>
              <w:spacing w:line="258" w:lineRule="exact"/>
              <w:ind w:left="0" w:right="65"/>
              <w:jc w:val="right"/>
              <w:rPr>
                <w:b/>
                <w:sz w:val="22"/>
              </w:rPr>
            </w:pPr>
            <w:r>
              <w:rPr>
                <w:b/>
                <w:color w:val="585858"/>
                <w:sz w:val="22"/>
              </w:rPr>
              <w:t>PAUWES</w:t>
            </w:r>
          </w:p>
        </w:tc>
        <w:tc>
          <w:tcPr>
            <w:tcW w:w="7370" w:type="dxa"/>
          </w:tcPr>
          <w:p>
            <w:pPr>
              <w:pStyle w:val="TableParagraph"/>
              <w:spacing w:line="258" w:lineRule="exact"/>
              <w:rPr>
                <w:sz w:val="22"/>
              </w:rPr>
            </w:pPr>
            <w:r>
              <w:rPr>
                <w:color w:val="585858"/>
                <w:sz w:val="22"/>
              </w:rPr>
              <w:t>Pan-African University of Water and Energy Services</w:t>
            </w:r>
          </w:p>
        </w:tc>
      </w:tr>
      <w:tr>
        <w:trPr>
          <w:trHeight w:val="300" w:hRule="atLeast"/>
        </w:trPr>
        <w:tc>
          <w:tcPr>
            <w:tcW w:w="1435" w:type="dxa"/>
          </w:tcPr>
          <w:p>
            <w:pPr>
              <w:pStyle w:val="TableParagraph"/>
              <w:spacing w:line="258" w:lineRule="exact"/>
              <w:ind w:left="0" w:right="67"/>
              <w:jc w:val="right"/>
              <w:rPr>
                <w:b/>
                <w:sz w:val="22"/>
              </w:rPr>
            </w:pPr>
            <w:r>
              <w:rPr>
                <w:b/>
                <w:color w:val="585858"/>
                <w:sz w:val="22"/>
              </w:rPr>
              <w:t>PIMC</w:t>
            </w:r>
          </w:p>
        </w:tc>
        <w:tc>
          <w:tcPr>
            <w:tcW w:w="7370" w:type="dxa"/>
          </w:tcPr>
          <w:p>
            <w:pPr>
              <w:pStyle w:val="TableParagraph"/>
              <w:spacing w:line="258" w:lineRule="exact"/>
              <w:rPr>
                <w:sz w:val="22"/>
              </w:rPr>
            </w:pPr>
            <w:r>
              <w:rPr>
                <w:color w:val="585858"/>
                <w:sz w:val="22"/>
              </w:rPr>
              <w:t>Programme and Innovation Management Cycle</w:t>
            </w:r>
          </w:p>
        </w:tc>
      </w:tr>
      <w:tr>
        <w:trPr>
          <w:trHeight w:val="300" w:hRule="atLeast"/>
        </w:trPr>
        <w:tc>
          <w:tcPr>
            <w:tcW w:w="1435" w:type="dxa"/>
          </w:tcPr>
          <w:p>
            <w:pPr>
              <w:pStyle w:val="TableParagraph"/>
              <w:spacing w:line="258" w:lineRule="exact"/>
              <w:ind w:left="0" w:right="68"/>
              <w:jc w:val="right"/>
              <w:rPr>
                <w:b/>
                <w:sz w:val="22"/>
              </w:rPr>
            </w:pPr>
            <w:r>
              <w:rPr>
                <w:b/>
                <w:color w:val="585858"/>
                <w:sz w:val="22"/>
              </w:rPr>
              <w:t>POLIMI</w:t>
            </w:r>
          </w:p>
        </w:tc>
        <w:tc>
          <w:tcPr>
            <w:tcW w:w="7370" w:type="dxa"/>
          </w:tcPr>
          <w:p>
            <w:pPr>
              <w:pStyle w:val="TableParagraph"/>
              <w:spacing w:line="258" w:lineRule="exact"/>
              <w:rPr>
                <w:sz w:val="22"/>
              </w:rPr>
            </w:pPr>
            <w:r>
              <w:rPr>
                <w:color w:val="585858"/>
                <w:sz w:val="22"/>
              </w:rPr>
              <w:t>Politecnico di Milano, Italy</w:t>
            </w:r>
          </w:p>
        </w:tc>
      </w:tr>
      <w:tr>
        <w:trPr>
          <w:trHeight w:val="553" w:hRule="atLeast"/>
        </w:trPr>
        <w:tc>
          <w:tcPr>
            <w:tcW w:w="1435" w:type="dxa"/>
          </w:tcPr>
          <w:p>
            <w:pPr>
              <w:pStyle w:val="TableParagraph"/>
              <w:spacing w:line="258" w:lineRule="exact"/>
              <w:ind w:left="0" w:right="68"/>
              <w:jc w:val="right"/>
              <w:rPr>
                <w:b/>
                <w:sz w:val="22"/>
              </w:rPr>
            </w:pPr>
            <w:r>
              <w:rPr>
                <w:b/>
                <w:color w:val="585858"/>
                <w:sz w:val="22"/>
              </w:rPr>
              <w:t>PRE-LEAP-RE</w:t>
            </w:r>
          </w:p>
        </w:tc>
        <w:tc>
          <w:tcPr>
            <w:tcW w:w="7370" w:type="dxa"/>
          </w:tcPr>
          <w:p>
            <w:pPr>
              <w:pStyle w:val="TableParagraph"/>
              <w:spacing w:line="240" w:lineRule="auto"/>
              <w:ind w:right="185"/>
              <w:rPr>
                <w:sz w:val="22"/>
              </w:rPr>
            </w:pPr>
            <w:r>
              <w:rPr>
                <w:color w:val="585858"/>
                <w:sz w:val="22"/>
              </w:rPr>
              <w:t>PREparing for a Long-term Joint EU-AU Research and Innovation Partnership on Renewable Energy (CSA)</w:t>
            </w:r>
          </w:p>
        </w:tc>
      </w:tr>
      <w:tr>
        <w:trPr>
          <w:trHeight w:val="284" w:hRule="atLeast"/>
        </w:trPr>
        <w:tc>
          <w:tcPr>
            <w:tcW w:w="1435" w:type="dxa"/>
          </w:tcPr>
          <w:p>
            <w:pPr>
              <w:pStyle w:val="TableParagraph"/>
              <w:spacing w:line="242" w:lineRule="exact"/>
              <w:ind w:left="0" w:right="66"/>
              <w:jc w:val="right"/>
              <w:rPr>
                <w:b/>
                <w:sz w:val="22"/>
              </w:rPr>
            </w:pPr>
            <w:r>
              <w:rPr>
                <w:b/>
                <w:color w:val="585858"/>
                <w:sz w:val="22"/>
              </w:rPr>
              <w:t>RD&amp;D</w:t>
            </w:r>
          </w:p>
        </w:tc>
        <w:tc>
          <w:tcPr>
            <w:tcW w:w="7370" w:type="dxa"/>
          </w:tcPr>
          <w:p>
            <w:pPr>
              <w:pStyle w:val="TableParagraph"/>
              <w:spacing w:line="242" w:lineRule="exact"/>
              <w:rPr>
                <w:sz w:val="22"/>
              </w:rPr>
            </w:pPr>
            <w:r>
              <w:rPr>
                <w:color w:val="585858"/>
                <w:sz w:val="22"/>
              </w:rPr>
              <w:t>Research, Development and Demonstration</w:t>
            </w:r>
          </w:p>
        </w:tc>
      </w:tr>
      <w:tr>
        <w:trPr>
          <w:trHeight w:val="300" w:hRule="atLeast"/>
        </w:trPr>
        <w:tc>
          <w:tcPr>
            <w:tcW w:w="1435" w:type="dxa"/>
          </w:tcPr>
          <w:p>
            <w:pPr>
              <w:pStyle w:val="TableParagraph"/>
              <w:spacing w:line="258" w:lineRule="exact"/>
              <w:ind w:left="0" w:right="66"/>
              <w:jc w:val="right"/>
              <w:rPr>
                <w:b/>
                <w:sz w:val="22"/>
              </w:rPr>
            </w:pPr>
            <w:r>
              <w:rPr>
                <w:b/>
                <w:color w:val="585858"/>
                <w:sz w:val="22"/>
              </w:rPr>
              <w:t>RE</w:t>
            </w:r>
          </w:p>
        </w:tc>
        <w:tc>
          <w:tcPr>
            <w:tcW w:w="7370" w:type="dxa"/>
          </w:tcPr>
          <w:p>
            <w:pPr>
              <w:pStyle w:val="TableParagraph"/>
              <w:spacing w:line="258" w:lineRule="exact"/>
              <w:rPr>
                <w:sz w:val="22"/>
              </w:rPr>
            </w:pPr>
            <w:r>
              <w:rPr>
                <w:color w:val="585858"/>
                <w:sz w:val="22"/>
              </w:rPr>
              <w:t>Renweable Energy</w:t>
            </w:r>
          </w:p>
        </w:tc>
      </w:tr>
      <w:tr>
        <w:trPr>
          <w:trHeight w:val="300" w:hRule="atLeast"/>
        </w:trPr>
        <w:tc>
          <w:tcPr>
            <w:tcW w:w="1435" w:type="dxa"/>
          </w:tcPr>
          <w:p>
            <w:pPr>
              <w:pStyle w:val="TableParagraph"/>
              <w:spacing w:line="258" w:lineRule="exact"/>
              <w:ind w:left="0" w:right="67"/>
              <w:jc w:val="right"/>
              <w:rPr>
                <w:b/>
                <w:sz w:val="22"/>
              </w:rPr>
            </w:pPr>
            <w:r>
              <w:rPr>
                <w:b/>
                <w:color w:val="585858"/>
                <w:sz w:val="22"/>
              </w:rPr>
              <w:t>REA</w:t>
            </w:r>
          </w:p>
        </w:tc>
        <w:tc>
          <w:tcPr>
            <w:tcW w:w="7370" w:type="dxa"/>
          </w:tcPr>
          <w:p>
            <w:pPr>
              <w:pStyle w:val="TableParagraph"/>
              <w:spacing w:line="258" w:lineRule="exact"/>
              <w:rPr>
                <w:sz w:val="22"/>
              </w:rPr>
            </w:pPr>
            <w:r>
              <w:rPr>
                <w:color w:val="585858"/>
                <w:sz w:val="22"/>
              </w:rPr>
              <w:t>Research Executive Agency under the power delegated by the EC</w:t>
            </w:r>
          </w:p>
        </w:tc>
      </w:tr>
      <w:tr>
        <w:trPr>
          <w:trHeight w:val="300" w:hRule="atLeast"/>
        </w:trPr>
        <w:tc>
          <w:tcPr>
            <w:tcW w:w="1435" w:type="dxa"/>
          </w:tcPr>
          <w:p>
            <w:pPr>
              <w:pStyle w:val="TableParagraph"/>
              <w:spacing w:line="258" w:lineRule="exact"/>
              <w:ind w:left="0" w:right="68"/>
              <w:jc w:val="right"/>
              <w:rPr>
                <w:b/>
                <w:sz w:val="22"/>
              </w:rPr>
            </w:pPr>
            <w:r>
              <w:rPr>
                <w:b/>
                <w:color w:val="585858"/>
                <w:sz w:val="22"/>
              </w:rPr>
              <w:t>RES</w:t>
            </w:r>
          </w:p>
        </w:tc>
        <w:tc>
          <w:tcPr>
            <w:tcW w:w="7370" w:type="dxa"/>
          </w:tcPr>
          <w:p>
            <w:pPr>
              <w:pStyle w:val="TableParagraph"/>
              <w:spacing w:line="258" w:lineRule="exact"/>
              <w:rPr>
                <w:sz w:val="22"/>
              </w:rPr>
            </w:pPr>
            <w:r>
              <w:rPr>
                <w:color w:val="585858"/>
                <w:sz w:val="22"/>
              </w:rPr>
              <w:t>Renewable Energy Sources</w:t>
            </w:r>
          </w:p>
        </w:tc>
      </w:tr>
      <w:tr>
        <w:trPr>
          <w:trHeight w:val="300" w:hRule="atLeast"/>
        </w:trPr>
        <w:tc>
          <w:tcPr>
            <w:tcW w:w="1435" w:type="dxa"/>
          </w:tcPr>
          <w:p>
            <w:pPr>
              <w:pStyle w:val="TableParagraph"/>
              <w:spacing w:line="258" w:lineRule="exact"/>
              <w:ind w:left="0" w:right="71"/>
              <w:jc w:val="right"/>
              <w:rPr>
                <w:b/>
                <w:sz w:val="22"/>
              </w:rPr>
            </w:pPr>
            <w:r>
              <w:rPr>
                <w:b/>
                <w:color w:val="585858"/>
                <w:sz w:val="22"/>
              </w:rPr>
              <w:t>SG</w:t>
            </w:r>
          </w:p>
        </w:tc>
        <w:tc>
          <w:tcPr>
            <w:tcW w:w="7370" w:type="dxa"/>
          </w:tcPr>
          <w:p>
            <w:pPr>
              <w:pStyle w:val="TableParagraph"/>
              <w:spacing w:line="258" w:lineRule="exact"/>
              <w:rPr>
                <w:sz w:val="22"/>
              </w:rPr>
            </w:pPr>
            <w:r>
              <w:rPr>
                <w:color w:val="585858"/>
                <w:sz w:val="22"/>
              </w:rPr>
              <w:t>Stakeholder Group</w:t>
            </w:r>
          </w:p>
        </w:tc>
      </w:tr>
      <w:tr>
        <w:trPr>
          <w:trHeight w:val="300" w:hRule="atLeast"/>
        </w:trPr>
        <w:tc>
          <w:tcPr>
            <w:tcW w:w="1435" w:type="dxa"/>
          </w:tcPr>
          <w:p>
            <w:pPr>
              <w:pStyle w:val="TableParagraph"/>
              <w:spacing w:line="258" w:lineRule="exact"/>
              <w:ind w:left="0" w:right="67"/>
              <w:jc w:val="right"/>
              <w:rPr>
                <w:b/>
                <w:sz w:val="22"/>
              </w:rPr>
            </w:pPr>
            <w:r>
              <w:rPr>
                <w:b/>
                <w:color w:val="585858"/>
                <w:sz w:val="22"/>
              </w:rPr>
              <w:t>SOM</w:t>
            </w:r>
          </w:p>
        </w:tc>
        <w:tc>
          <w:tcPr>
            <w:tcW w:w="7370" w:type="dxa"/>
          </w:tcPr>
          <w:p>
            <w:pPr>
              <w:pStyle w:val="TableParagraph"/>
              <w:spacing w:line="258" w:lineRule="exact"/>
              <w:rPr>
                <w:sz w:val="22"/>
              </w:rPr>
            </w:pPr>
            <w:r>
              <w:rPr>
                <w:color w:val="585858"/>
                <w:sz w:val="22"/>
              </w:rPr>
              <w:t>Senior Official Meeting</w:t>
            </w:r>
          </w:p>
        </w:tc>
      </w:tr>
      <w:tr>
        <w:trPr>
          <w:trHeight w:val="300" w:hRule="atLeast"/>
        </w:trPr>
        <w:tc>
          <w:tcPr>
            <w:tcW w:w="1435" w:type="dxa"/>
          </w:tcPr>
          <w:p>
            <w:pPr>
              <w:pStyle w:val="TableParagraph"/>
              <w:spacing w:line="258" w:lineRule="exact"/>
              <w:ind w:left="0" w:right="70"/>
              <w:jc w:val="right"/>
              <w:rPr>
                <w:b/>
                <w:sz w:val="22"/>
              </w:rPr>
            </w:pPr>
            <w:r>
              <w:rPr>
                <w:b/>
                <w:color w:val="585858"/>
                <w:sz w:val="22"/>
              </w:rPr>
              <w:t>SU</w:t>
            </w:r>
          </w:p>
        </w:tc>
        <w:tc>
          <w:tcPr>
            <w:tcW w:w="7370" w:type="dxa"/>
          </w:tcPr>
          <w:p>
            <w:pPr>
              <w:pStyle w:val="TableParagraph"/>
              <w:spacing w:line="258" w:lineRule="exact"/>
              <w:rPr>
                <w:sz w:val="22"/>
              </w:rPr>
            </w:pPr>
            <w:r>
              <w:rPr>
                <w:color w:val="585858"/>
                <w:sz w:val="22"/>
              </w:rPr>
              <w:t>Strathmore University, Kenya</w:t>
            </w:r>
          </w:p>
        </w:tc>
      </w:tr>
      <w:tr>
        <w:trPr>
          <w:trHeight w:val="260" w:hRule="atLeast"/>
        </w:trPr>
        <w:tc>
          <w:tcPr>
            <w:tcW w:w="1435" w:type="dxa"/>
          </w:tcPr>
          <w:p>
            <w:pPr>
              <w:pStyle w:val="TableParagraph"/>
              <w:spacing w:line="240" w:lineRule="exact"/>
              <w:ind w:left="0" w:right="67"/>
              <w:jc w:val="right"/>
              <w:rPr>
                <w:b/>
                <w:sz w:val="22"/>
              </w:rPr>
            </w:pPr>
            <w:r>
              <w:rPr>
                <w:b/>
                <w:color w:val="585858"/>
                <w:sz w:val="22"/>
              </w:rPr>
              <w:t>WASCAL</w:t>
            </w:r>
          </w:p>
        </w:tc>
        <w:tc>
          <w:tcPr>
            <w:tcW w:w="7370" w:type="dxa"/>
          </w:tcPr>
          <w:p>
            <w:pPr>
              <w:pStyle w:val="TableParagraph"/>
              <w:spacing w:line="240" w:lineRule="exact"/>
              <w:rPr>
                <w:sz w:val="22"/>
              </w:rPr>
            </w:pPr>
            <w:r>
              <w:rPr>
                <w:color w:val="585858"/>
                <w:sz w:val="22"/>
              </w:rPr>
              <w:t>West African Science Service Center on Climate Change and Adapted Land Use</w:t>
            </w:r>
          </w:p>
        </w:tc>
      </w:tr>
    </w:tbl>
    <w:p>
      <w:pPr>
        <w:spacing w:after="0" w:line="240" w:lineRule="exact"/>
        <w:rPr>
          <w:sz w:val="22"/>
        </w:rPr>
        <w:sectPr>
          <w:pgSz w:w="11920" w:h="16850"/>
          <w:pgMar w:header="0" w:footer="805" w:top="1040" w:bottom="1000" w:left="1000" w:right="580"/>
        </w:sectPr>
      </w:pPr>
    </w:p>
    <w:p>
      <w:pPr>
        <w:pStyle w:val="BodyText"/>
        <w:rPr>
          <w:b/>
          <w:sz w:val="20"/>
        </w:rPr>
      </w:pPr>
      <w:r>
        <w:rPr/>
        <w:pict>
          <v:rect style="position:absolute;margin-left:0pt;margin-top:.000015pt;width:595.276pt;height:841.89pt;mso-position-horizontal-relative:page;mso-position-vertical-relative:page;z-index:-28000" filled="true" fillcolor="#3fc3db" stroked="false">
            <v:fill opacity="47841f" type="solid"/>
            <w10:wrap type="none"/>
          </v:rect>
        </w:pict>
      </w:r>
      <w:r>
        <w:rPr/>
        <w:pict>
          <v:group style="position:absolute;margin-left:14.5281pt;margin-top:48.880116pt;width:567.450pt;height:739.45pt;mso-position-horizontal-relative:page;mso-position-vertical-relative:page;z-index:-27976" coordorigin="291,978" coordsize="11349,14789">
            <v:shape style="position:absolute;left:290;top:977;width:11288;height:14789" coordorigin="291,978" coordsize="11288,14789" path="m11578,978l7338,978,6154,3383,291,3383,291,15766,11578,15766,11578,978xe" filled="true" fillcolor="#ffffff" stroked="false">
              <v:path arrowok="t"/>
              <v:fill type="solid"/>
            </v:shape>
            <v:shape style="position:absolute;left:6215;top:977;width:5425;height:5063" coordorigin="6215,978" coordsize="5425,5063" path="m11639,978l10739,978,7400,978,6215,3295,8402,2175,11639,6041,11639,978e" filled="true" fillcolor="#cdcdcc" stroked="false">
              <v:path arrowok="t"/>
              <v:fill opacity="9830f" type="solid"/>
            </v:shape>
            <v:line style="position:absolute" from="1093,11493" to="5353,11493" stroked="true" strokeweight="0pt" strokecolor="#14a249">
              <v:stroke dashstyle="solid"/>
            </v:line>
            <v:shape style="position:absolute;left:804;top:7665;width:10257;height:3111" type="#_x0000_t75" stroked="false">
              <v:imagedata r:id="rId29" o:titl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259"/>
        <w:ind w:left="822" w:right="0" w:firstLine="0"/>
        <w:jc w:val="left"/>
        <w:rPr>
          <w:rFonts w:ascii="Myriad Pro Light"/>
          <w:b/>
          <w:sz w:val="38"/>
        </w:rPr>
      </w:pPr>
      <w:bookmarkStart w:name="BG Paper 1 - BACK.pdf" w:id="29"/>
      <w:bookmarkEnd w:id="29"/>
      <w:r>
        <w:rPr/>
      </w:r>
      <w:r>
        <w:rPr>
          <w:rFonts w:ascii="Myriad Pro Light"/>
          <w:b/>
          <w:color w:val="414042"/>
          <w:sz w:val="38"/>
        </w:rPr>
        <w:t>PROJECT PARTNERS</w:t>
      </w: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rPr>
          <w:rFonts w:ascii="Myriad Pro Light"/>
          <w:b/>
          <w:sz w:val="20"/>
        </w:rPr>
      </w:pPr>
    </w:p>
    <w:p>
      <w:pPr>
        <w:pStyle w:val="BodyText"/>
        <w:spacing w:before="6"/>
        <w:rPr>
          <w:rFonts w:ascii="Myriad Pro Light"/>
          <w:b/>
          <w:sz w:val="25"/>
        </w:rPr>
      </w:pPr>
    </w:p>
    <w:p>
      <w:pPr>
        <w:pStyle w:val="Heading2"/>
        <w:spacing w:line="225" w:lineRule="auto" w:before="117"/>
        <w:ind w:left="1230" w:right="113"/>
        <w:jc w:val="left"/>
      </w:pPr>
      <w:r>
        <w:rPr/>
        <w:drawing>
          <wp:anchor distT="0" distB="0" distL="0" distR="0" allowOverlap="1" layoutInCell="1" locked="0" behindDoc="1" simplePos="0" relativeHeight="268407503">
            <wp:simplePos x="0" y="0"/>
            <wp:positionH relativeFrom="page">
              <wp:posOffset>209912</wp:posOffset>
            </wp:positionH>
            <wp:positionV relativeFrom="paragraph">
              <wp:posOffset>84067</wp:posOffset>
            </wp:positionV>
            <wp:extent cx="540761" cy="350493"/>
            <wp:effectExtent l="0" t="0" r="0" b="0"/>
            <wp:wrapNone/>
            <wp:docPr id="23" name="image15.png" descr=""/>
            <wp:cNvGraphicFramePr>
              <a:graphicFrameLocks noChangeAspect="1"/>
            </wp:cNvGraphicFramePr>
            <a:graphic>
              <a:graphicData uri="http://schemas.openxmlformats.org/drawingml/2006/picture">
                <pic:pic>
                  <pic:nvPicPr>
                    <pic:cNvPr id="24" name="image15.png"/>
                    <pic:cNvPicPr/>
                  </pic:nvPicPr>
                  <pic:blipFill>
                    <a:blip r:embed="rId30" cstate="print"/>
                    <a:stretch>
                      <a:fillRect/>
                    </a:stretch>
                  </pic:blipFill>
                  <pic:spPr>
                    <a:xfrm>
                      <a:off x="0" y="0"/>
                      <a:ext cx="540761" cy="350493"/>
                    </a:xfrm>
                    <a:prstGeom prst="rect">
                      <a:avLst/>
                    </a:prstGeom>
                  </pic:spPr>
                </pic:pic>
              </a:graphicData>
            </a:graphic>
          </wp:anchor>
        </w:drawing>
      </w:r>
      <w:r>
        <w:rPr>
          <w:color w:val="FFFFFF"/>
        </w:rPr>
        <w:t>The</w:t>
      </w:r>
      <w:r>
        <w:rPr>
          <w:color w:val="FFFFFF"/>
          <w:spacing w:val="-14"/>
        </w:rPr>
        <w:t> </w:t>
      </w:r>
      <w:r>
        <w:rPr>
          <w:color w:val="FFFFFF"/>
        </w:rPr>
        <w:t>PRE-LEAP-RE</w:t>
      </w:r>
      <w:r>
        <w:rPr>
          <w:color w:val="FFFFFF"/>
          <w:spacing w:val="-13"/>
        </w:rPr>
        <w:t> </w:t>
      </w:r>
      <w:r>
        <w:rPr>
          <w:color w:val="FFFFFF"/>
        </w:rPr>
        <w:t>project</w:t>
      </w:r>
      <w:r>
        <w:rPr>
          <w:color w:val="FFFFFF"/>
          <w:spacing w:val="-13"/>
        </w:rPr>
        <w:t> </w:t>
      </w:r>
      <w:r>
        <w:rPr>
          <w:color w:val="FFFFFF"/>
        </w:rPr>
        <w:t>has</w:t>
      </w:r>
      <w:r>
        <w:rPr>
          <w:color w:val="FFFFFF"/>
          <w:spacing w:val="-13"/>
        </w:rPr>
        <w:t> </w:t>
      </w:r>
      <w:r>
        <w:rPr>
          <w:color w:val="FFFFFF"/>
        </w:rPr>
        <w:t>received</w:t>
      </w:r>
      <w:r>
        <w:rPr>
          <w:color w:val="FFFFFF"/>
          <w:spacing w:val="-13"/>
        </w:rPr>
        <w:t> </w:t>
      </w:r>
      <w:r>
        <w:rPr>
          <w:color w:val="FFFFFF"/>
        </w:rPr>
        <w:t>funding</w:t>
      </w:r>
      <w:r>
        <w:rPr>
          <w:color w:val="FFFFFF"/>
          <w:spacing w:val="-13"/>
        </w:rPr>
        <w:t> </w:t>
      </w:r>
      <w:r>
        <w:rPr>
          <w:color w:val="FFFFFF"/>
        </w:rPr>
        <w:t>from</w:t>
      </w:r>
      <w:r>
        <w:rPr>
          <w:color w:val="FFFFFF"/>
          <w:spacing w:val="-13"/>
        </w:rPr>
        <w:t> </w:t>
      </w:r>
      <w:r>
        <w:rPr>
          <w:color w:val="FFFFFF"/>
        </w:rPr>
        <w:t>the</w:t>
      </w:r>
      <w:r>
        <w:rPr>
          <w:color w:val="FFFFFF"/>
          <w:spacing w:val="-13"/>
        </w:rPr>
        <w:t> </w:t>
      </w:r>
      <w:r>
        <w:rPr>
          <w:color w:val="FFFFFF"/>
        </w:rPr>
        <w:t>European</w:t>
      </w:r>
      <w:r>
        <w:rPr>
          <w:color w:val="FFFFFF"/>
          <w:spacing w:val="-13"/>
        </w:rPr>
        <w:t> </w:t>
      </w:r>
      <w:r>
        <w:rPr>
          <w:color w:val="FFFFFF"/>
          <w:spacing w:val="-4"/>
        </w:rPr>
        <w:t>Union’s</w:t>
      </w:r>
      <w:r>
        <w:rPr>
          <w:color w:val="FFFFFF"/>
          <w:spacing w:val="-13"/>
        </w:rPr>
        <w:t> </w:t>
      </w:r>
      <w:r>
        <w:rPr>
          <w:color w:val="FFFFFF"/>
        </w:rPr>
        <w:t>Horizon</w:t>
      </w:r>
      <w:r>
        <w:rPr>
          <w:color w:val="FFFFFF"/>
          <w:spacing w:val="-13"/>
        </w:rPr>
        <w:t> </w:t>
      </w:r>
      <w:r>
        <w:rPr>
          <w:color w:val="FFFFFF"/>
        </w:rPr>
        <w:t>2020</w:t>
      </w:r>
      <w:r>
        <w:rPr>
          <w:color w:val="FFFFFF"/>
          <w:spacing w:val="-13"/>
        </w:rPr>
        <w:t> </w:t>
      </w:r>
      <w:r>
        <w:rPr>
          <w:color w:val="FFFFFF"/>
        </w:rPr>
        <w:t>Research</w:t>
      </w:r>
      <w:r>
        <w:rPr>
          <w:color w:val="FFFFFF"/>
          <w:spacing w:val="-13"/>
        </w:rPr>
        <w:t> </w:t>
      </w:r>
      <w:r>
        <w:rPr>
          <w:color w:val="FFFFFF"/>
        </w:rPr>
        <w:t>and Innovation Program under Grant Agreement</w:t>
      </w:r>
      <w:r>
        <w:rPr>
          <w:color w:val="FFFFFF"/>
          <w:spacing w:val="-35"/>
        </w:rPr>
        <w:t> </w:t>
      </w:r>
      <w:r>
        <w:rPr>
          <w:color w:val="FFFFFF"/>
        </w:rPr>
        <w:t>815264.</w:t>
      </w:r>
    </w:p>
    <w:p>
      <w:pPr>
        <w:spacing w:after="0" w:line="225" w:lineRule="auto"/>
        <w:jc w:val="left"/>
        <w:sectPr>
          <w:footerReference w:type="default" r:id="rId28"/>
          <w:pgSz w:w="11910" w:h="16840"/>
          <w:pgMar w:footer="0" w:header="0" w:top="1580" w:bottom="0" w:left="220" w:right="200"/>
        </w:sectPr>
      </w:pPr>
    </w:p>
    <w:p>
      <w:pPr>
        <w:pStyle w:val="BodyText"/>
        <w:rPr>
          <w:sz w:val="20"/>
        </w:rPr>
      </w:pPr>
      <w:r>
        <w:rPr/>
        <w:pict>
          <v:rect style="position:absolute;margin-left:0pt;margin-top:.000015pt;width:595.275pt;height:841.89pt;mso-position-horizontal-relative:page;mso-position-vertical-relative:page;z-index:-27904" filled="true" fillcolor="#009a49"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9"/>
        </w:rPr>
      </w:pPr>
    </w:p>
    <w:p>
      <w:pPr>
        <w:pStyle w:val="BodyText"/>
        <w:spacing w:line="20" w:lineRule="exact"/>
        <w:ind w:left="152"/>
        <w:rPr>
          <w:sz w:val="2"/>
        </w:rPr>
      </w:pPr>
      <w:r>
        <w:rPr>
          <w:sz w:val="2"/>
        </w:rPr>
        <w:pict>
          <v:group style="width:213pt;height:.1pt;mso-position-horizontal-relative:char;mso-position-vertical-relative:line" coordorigin="0,0" coordsize="4260,2">
            <v:line style="position:absolute" from="0,0" to="4260,0" stroked="true" strokeweight="0pt" strokecolor="#14a249">
              <v:stroke dashstyle="solid"/>
            </v:line>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spacing w:before="101"/>
        <w:ind w:left="4028" w:right="4079" w:firstLine="0"/>
        <w:jc w:val="center"/>
        <w:rPr>
          <w:rFonts w:ascii="Myriad Pro Light" w:hAnsi="Myriad Pro Light"/>
          <w:b/>
          <w:sz w:val="38"/>
        </w:rPr>
      </w:pPr>
      <w:r>
        <w:rPr>
          <w:rFonts w:ascii="Myriad Pro Light" w:hAnsi="Myriad Pro Light"/>
          <w:b/>
          <w:color w:val="FFFFFF"/>
          <w:sz w:val="38"/>
        </w:rPr>
        <w:t>PRE-LEAP-RE © 2019</w:t>
      </w:r>
    </w:p>
    <w:sectPr>
      <w:footerReference w:type="default" r:id="rId31"/>
      <w:pgSz w:w="11910" w:h="16840"/>
      <w:pgMar w:footer="0" w:header="0" w:top="1580" w:bottom="0" w:left="22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Myriad Pro">
    <w:altName w:val="Myriad Pro"/>
    <w:charset w:val="0"/>
    <w:family w:val="swiss"/>
    <w:pitch w:val="variable"/>
  </w:font>
  <w:font w:name="Myriad Pro Light">
    <w:altName w:val="Myriad Pro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6927">
          <wp:simplePos x="0" y="0"/>
          <wp:positionH relativeFrom="page">
            <wp:posOffset>2996183</wp:posOffset>
          </wp:positionH>
          <wp:positionV relativeFrom="page">
            <wp:posOffset>9983723</wp:posOffset>
          </wp:positionV>
          <wp:extent cx="2510027" cy="324612"/>
          <wp:effectExtent l="0" t="0" r="0" b="0"/>
          <wp:wrapNone/>
          <wp:docPr id="7" name="image8.png" descr=""/>
          <wp:cNvGraphicFramePr>
            <a:graphicFrameLocks noChangeAspect="1"/>
          </wp:cNvGraphicFramePr>
          <a:graphic>
            <a:graphicData uri="http://schemas.openxmlformats.org/drawingml/2006/picture">
              <pic:pic>
                <pic:nvPicPr>
                  <pic:cNvPr id="8" name="image8.png"/>
                  <pic:cNvPicPr/>
                </pic:nvPicPr>
                <pic:blipFill>
                  <a:blip r:embed="rId1" cstate="print"/>
                  <a:stretch>
                    <a:fillRect/>
                  </a:stretch>
                </pic:blipFill>
                <pic:spPr>
                  <a:xfrm>
                    <a:off x="0" y="0"/>
                    <a:ext cx="2510027" cy="324612"/>
                  </a:xfrm>
                  <a:prstGeom prst="rect">
                    <a:avLst/>
                  </a:prstGeom>
                </pic:spPr>
              </pic:pic>
            </a:graphicData>
          </a:graphic>
        </wp:anchor>
      </w:drawing>
    </w:r>
    <w:r>
      <w:rPr/>
      <w:drawing>
        <wp:anchor distT="0" distB="0" distL="0" distR="0" allowOverlap="1" layoutInCell="1" locked="0" behindDoc="1" simplePos="0" relativeHeight="268406951">
          <wp:simplePos x="0" y="0"/>
          <wp:positionH relativeFrom="page">
            <wp:posOffset>714375</wp:posOffset>
          </wp:positionH>
          <wp:positionV relativeFrom="page">
            <wp:posOffset>9828986</wp:posOffset>
          </wp:positionV>
          <wp:extent cx="2182495" cy="448576"/>
          <wp:effectExtent l="0" t="0" r="0" b="0"/>
          <wp:wrapNone/>
          <wp:docPr id="9" name="image9.png" descr=""/>
          <wp:cNvGraphicFramePr>
            <a:graphicFrameLocks noChangeAspect="1"/>
          </wp:cNvGraphicFramePr>
          <a:graphic>
            <a:graphicData uri="http://schemas.openxmlformats.org/drawingml/2006/picture">
              <pic:pic>
                <pic:nvPicPr>
                  <pic:cNvPr id="10" name="image9.png"/>
                  <pic:cNvPicPr/>
                </pic:nvPicPr>
                <pic:blipFill>
                  <a:blip r:embed="rId2" cstate="print"/>
                  <a:stretch>
                    <a:fillRect/>
                  </a:stretch>
                </pic:blipFill>
                <pic:spPr>
                  <a:xfrm>
                    <a:off x="0" y="0"/>
                    <a:ext cx="2182495" cy="448576"/>
                  </a:xfrm>
                  <a:prstGeom prst="rect">
                    <a:avLst/>
                  </a:prstGeom>
                </pic:spPr>
              </pic:pic>
            </a:graphicData>
          </a:graphic>
        </wp:anchor>
      </w:drawing>
    </w:r>
    <w:r>
      <w:rPr/>
      <w:pict>
        <v:shape style="position:absolute;margin-left:242.169998pt;margin-top:786.769958pt;width:91.5pt;height:19.9pt;mso-position-horizontal-relative:page;mso-position-vertical-relative:page;z-index:-28480" type="#_x0000_t202" filled="false" stroked="false">
          <v:textbox inset="0,0,0,0">
            <w:txbxContent>
              <w:p>
                <w:pPr>
                  <w:spacing w:line="184" w:lineRule="exact" w:before="0"/>
                  <w:ind w:left="20" w:right="0" w:firstLine="0"/>
                  <w:jc w:val="left"/>
                  <w:rPr>
                    <w:b/>
                    <w:sz w:val="16"/>
                  </w:rPr>
                </w:pPr>
                <w:r>
                  <w:rPr>
                    <w:b/>
                    <w:color w:val="585858"/>
                    <w:sz w:val="16"/>
                  </w:rPr>
                  <w:t>Draft #2 Background Paper</w:t>
                </w:r>
              </w:p>
              <w:p>
                <w:pPr>
                  <w:spacing w:before="1"/>
                  <w:ind w:left="20" w:right="0" w:firstLine="0"/>
                  <w:jc w:val="left"/>
                  <w:rPr>
                    <w:b/>
                    <w:sz w:val="16"/>
                  </w:rPr>
                </w:pPr>
                <w:r>
                  <w:rPr>
                    <w:b/>
                    <w:color w:val="00991D"/>
                    <w:sz w:val="16"/>
                  </w:rPr>
                  <w:t>Funding &amp; Private Sector</w:t>
                </w:r>
              </w:p>
            </w:txbxContent>
          </v:textbox>
          <w10:wrap type="none"/>
        </v:shape>
      </w:pict>
    </w:r>
    <w:r>
      <w:rPr/>
      <w:pict>
        <v:shape style="position:absolute;margin-left:525.76001pt;margin-top:791.959961pt;width:28.2pt;height:14pt;mso-position-horizontal-relative:page;mso-position-vertical-relative:page;z-index:-28456" type="#_x0000_t202" filled="false" stroked="false">
          <v:textbox inset="0,0,0,0">
            <w:txbxContent>
              <w:p>
                <w:pPr>
                  <w:spacing w:line="264" w:lineRule="exact" w:before="0"/>
                  <w:ind w:left="40" w:right="0" w:firstLine="0"/>
                  <w:jc w:val="left"/>
                  <w:rPr>
                    <w:sz w:val="16"/>
                  </w:rPr>
                </w:pPr>
                <w:r>
                  <w:rPr/>
                  <w:fldChar w:fldCharType="begin"/>
                </w:r>
                <w:r>
                  <w:rPr>
                    <w:b/>
                    <w:color w:val="585858"/>
                    <w:sz w:val="24"/>
                  </w:rPr>
                  <w:instrText> PAGE </w:instrText>
                </w:r>
                <w:r>
                  <w:rPr/>
                  <w:fldChar w:fldCharType="separate"/>
                </w:r>
                <w:r>
                  <w:rPr/>
                  <w:t>2</w:t>
                </w:r>
                <w:r>
                  <w:rPr/>
                  <w:fldChar w:fldCharType="end"/>
                </w:r>
                <w:r>
                  <w:rPr>
                    <w:b/>
                    <w:color w:val="585858"/>
                    <w:sz w:val="24"/>
                  </w:rPr>
                  <w:t> </w:t>
                </w:r>
                <w:r>
                  <w:rPr>
                    <w:color w:val="585858"/>
                    <w:sz w:val="16"/>
                  </w:rPr>
                  <w:t>of 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7023">
          <wp:simplePos x="0" y="0"/>
          <wp:positionH relativeFrom="page">
            <wp:posOffset>2996183</wp:posOffset>
          </wp:positionH>
          <wp:positionV relativeFrom="page">
            <wp:posOffset>9983723</wp:posOffset>
          </wp:positionV>
          <wp:extent cx="2510027" cy="324612"/>
          <wp:effectExtent l="0" t="0" r="0" b="0"/>
          <wp:wrapNone/>
          <wp:docPr id="11" name="image8.png" descr=""/>
          <wp:cNvGraphicFramePr>
            <a:graphicFrameLocks noChangeAspect="1"/>
          </wp:cNvGraphicFramePr>
          <a:graphic>
            <a:graphicData uri="http://schemas.openxmlformats.org/drawingml/2006/picture">
              <pic:pic>
                <pic:nvPicPr>
                  <pic:cNvPr id="12" name="image8.png"/>
                  <pic:cNvPicPr/>
                </pic:nvPicPr>
                <pic:blipFill>
                  <a:blip r:embed="rId1" cstate="print"/>
                  <a:stretch>
                    <a:fillRect/>
                  </a:stretch>
                </pic:blipFill>
                <pic:spPr>
                  <a:xfrm>
                    <a:off x="0" y="0"/>
                    <a:ext cx="2510027" cy="324612"/>
                  </a:xfrm>
                  <a:prstGeom prst="rect">
                    <a:avLst/>
                  </a:prstGeom>
                </pic:spPr>
              </pic:pic>
            </a:graphicData>
          </a:graphic>
        </wp:anchor>
      </w:drawing>
    </w:r>
    <w:r>
      <w:rPr/>
      <w:drawing>
        <wp:anchor distT="0" distB="0" distL="0" distR="0" allowOverlap="1" layoutInCell="1" locked="0" behindDoc="1" simplePos="0" relativeHeight="268407047">
          <wp:simplePos x="0" y="0"/>
          <wp:positionH relativeFrom="page">
            <wp:posOffset>714375</wp:posOffset>
          </wp:positionH>
          <wp:positionV relativeFrom="page">
            <wp:posOffset>9828986</wp:posOffset>
          </wp:positionV>
          <wp:extent cx="2182495" cy="448576"/>
          <wp:effectExtent l="0" t="0" r="0" b="0"/>
          <wp:wrapNone/>
          <wp:docPr id="13" name="image9.png" descr=""/>
          <wp:cNvGraphicFramePr>
            <a:graphicFrameLocks noChangeAspect="1"/>
          </wp:cNvGraphicFramePr>
          <a:graphic>
            <a:graphicData uri="http://schemas.openxmlformats.org/drawingml/2006/picture">
              <pic:pic>
                <pic:nvPicPr>
                  <pic:cNvPr id="14" name="image9.png"/>
                  <pic:cNvPicPr/>
                </pic:nvPicPr>
                <pic:blipFill>
                  <a:blip r:embed="rId2" cstate="print"/>
                  <a:stretch>
                    <a:fillRect/>
                  </a:stretch>
                </pic:blipFill>
                <pic:spPr>
                  <a:xfrm>
                    <a:off x="0" y="0"/>
                    <a:ext cx="2182495" cy="448576"/>
                  </a:xfrm>
                  <a:prstGeom prst="rect">
                    <a:avLst/>
                  </a:prstGeom>
                </pic:spPr>
              </pic:pic>
            </a:graphicData>
          </a:graphic>
        </wp:anchor>
      </w:drawing>
    </w:r>
    <w:r>
      <w:rPr/>
      <w:pict>
        <v:shape style="position:absolute;margin-left:242.169998pt;margin-top:786.769958pt;width:91.5pt;height:19.9pt;mso-position-horizontal-relative:page;mso-position-vertical-relative:page;z-index:-28384" type="#_x0000_t202" filled="false" stroked="false">
          <v:textbox inset="0,0,0,0">
            <w:txbxContent>
              <w:p>
                <w:pPr>
                  <w:spacing w:line="184" w:lineRule="exact" w:before="0"/>
                  <w:ind w:left="20" w:right="0" w:firstLine="0"/>
                  <w:jc w:val="left"/>
                  <w:rPr>
                    <w:b/>
                    <w:sz w:val="16"/>
                  </w:rPr>
                </w:pPr>
                <w:r>
                  <w:rPr>
                    <w:b/>
                    <w:color w:val="585858"/>
                    <w:sz w:val="16"/>
                  </w:rPr>
                  <w:t>Draft #2 Background Paper</w:t>
                </w:r>
              </w:p>
              <w:p>
                <w:pPr>
                  <w:spacing w:before="1"/>
                  <w:ind w:left="20" w:right="0" w:firstLine="0"/>
                  <w:jc w:val="left"/>
                  <w:rPr>
                    <w:b/>
                    <w:sz w:val="16"/>
                  </w:rPr>
                </w:pPr>
                <w:r>
                  <w:rPr>
                    <w:b/>
                    <w:color w:val="00991D"/>
                    <w:sz w:val="16"/>
                  </w:rPr>
                  <w:t>Funding &amp; Private Sector</w:t>
                </w:r>
              </w:p>
            </w:txbxContent>
          </v:textbox>
          <w10:wrap type="none"/>
        </v:shape>
      </w:pict>
    </w:r>
    <w:r>
      <w:rPr/>
      <w:pict>
        <v:shape style="position:absolute;margin-left:519.76001pt;margin-top:791.959961pt;width:34.35pt;height:14pt;mso-position-horizontal-relative:page;mso-position-vertical-relative:page;z-index:-28360" type="#_x0000_t202" filled="false" stroked="false">
          <v:textbox inset="0,0,0,0">
            <w:txbxContent>
              <w:p>
                <w:pPr>
                  <w:spacing w:line="264" w:lineRule="exact" w:before="0"/>
                  <w:ind w:left="40" w:right="0" w:firstLine="0"/>
                  <w:jc w:val="left"/>
                  <w:rPr>
                    <w:sz w:val="16"/>
                  </w:rPr>
                </w:pPr>
                <w:r>
                  <w:rPr/>
                  <w:fldChar w:fldCharType="begin"/>
                </w:r>
                <w:r>
                  <w:rPr>
                    <w:b/>
                    <w:color w:val="585858"/>
                    <w:sz w:val="24"/>
                  </w:rPr>
                  <w:instrText> PAGE </w:instrText>
                </w:r>
                <w:r>
                  <w:rPr/>
                  <w:fldChar w:fldCharType="separate"/>
                </w:r>
                <w:r>
                  <w:rPr/>
                  <w:t>17</w:t>
                </w:r>
                <w:r>
                  <w:rPr/>
                  <w:fldChar w:fldCharType="end"/>
                </w:r>
                <w:r>
                  <w:rPr>
                    <w:b/>
                    <w:color w:val="585858"/>
                    <w:sz w:val="24"/>
                  </w:rPr>
                  <w:t> </w:t>
                </w:r>
                <w:r>
                  <w:rPr>
                    <w:color w:val="585858"/>
                    <w:sz w:val="16"/>
                  </w:rPr>
                  <w:t>of 17</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6pt;height:841.89pt;mso-position-horizontal-relative:page;mso-position-vertical-relative:page;z-index:-28336" filled="true" fillcolor="#3fc3db" stroked="false">
          <v:fill opacity="47841f" type="solid"/>
          <w10:wrap type="none"/>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28312" filled="true" fillcolor="#009a49" stroked="false">
          <v:fill type="solid"/>
          <w10:wrap type="none"/>
        </v:rect>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427" w:hanging="228"/>
      </w:pPr>
      <w:rPr>
        <w:rFonts w:hint="default" w:ascii="Symbol" w:hAnsi="Symbol" w:eastAsia="Symbol" w:cs="Symbol"/>
        <w:w w:val="99"/>
        <w:sz w:val="20"/>
        <w:szCs w:val="20"/>
      </w:rPr>
    </w:lvl>
    <w:lvl w:ilvl="1">
      <w:start w:val="0"/>
      <w:numFmt w:val="bullet"/>
      <w:lvlText w:val="•"/>
      <w:lvlJc w:val="left"/>
      <w:pPr>
        <w:ind w:left="625" w:hanging="228"/>
      </w:pPr>
      <w:rPr>
        <w:rFonts w:hint="default"/>
      </w:rPr>
    </w:lvl>
    <w:lvl w:ilvl="2">
      <w:start w:val="0"/>
      <w:numFmt w:val="bullet"/>
      <w:lvlText w:val="•"/>
      <w:lvlJc w:val="left"/>
      <w:pPr>
        <w:ind w:left="830" w:hanging="228"/>
      </w:pPr>
      <w:rPr>
        <w:rFonts w:hint="default"/>
      </w:rPr>
    </w:lvl>
    <w:lvl w:ilvl="3">
      <w:start w:val="0"/>
      <w:numFmt w:val="bullet"/>
      <w:lvlText w:val="•"/>
      <w:lvlJc w:val="left"/>
      <w:pPr>
        <w:ind w:left="1035" w:hanging="228"/>
      </w:pPr>
      <w:rPr>
        <w:rFonts w:hint="default"/>
      </w:rPr>
    </w:lvl>
    <w:lvl w:ilvl="4">
      <w:start w:val="0"/>
      <w:numFmt w:val="bullet"/>
      <w:lvlText w:val="•"/>
      <w:lvlJc w:val="left"/>
      <w:pPr>
        <w:ind w:left="1240" w:hanging="228"/>
      </w:pPr>
      <w:rPr>
        <w:rFonts w:hint="default"/>
      </w:rPr>
    </w:lvl>
    <w:lvl w:ilvl="5">
      <w:start w:val="0"/>
      <w:numFmt w:val="bullet"/>
      <w:lvlText w:val="•"/>
      <w:lvlJc w:val="left"/>
      <w:pPr>
        <w:ind w:left="1445" w:hanging="228"/>
      </w:pPr>
      <w:rPr>
        <w:rFonts w:hint="default"/>
      </w:rPr>
    </w:lvl>
    <w:lvl w:ilvl="6">
      <w:start w:val="0"/>
      <w:numFmt w:val="bullet"/>
      <w:lvlText w:val="•"/>
      <w:lvlJc w:val="left"/>
      <w:pPr>
        <w:ind w:left="1650" w:hanging="228"/>
      </w:pPr>
      <w:rPr>
        <w:rFonts w:hint="default"/>
      </w:rPr>
    </w:lvl>
    <w:lvl w:ilvl="7">
      <w:start w:val="0"/>
      <w:numFmt w:val="bullet"/>
      <w:lvlText w:val="•"/>
      <w:lvlJc w:val="left"/>
      <w:pPr>
        <w:ind w:left="1855" w:hanging="228"/>
      </w:pPr>
      <w:rPr>
        <w:rFonts w:hint="default"/>
      </w:rPr>
    </w:lvl>
    <w:lvl w:ilvl="8">
      <w:start w:val="0"/>
      <w:numFmt w:val="bullet"/>
      <w:lvlText w:val="•"/>
      <w:lvlJc w:val="left"/>
      <w:pPr>
        <w:ind w:left="2060" w:hanging="228"/>
      </w:pPr>
      <w:rPr>
        <w:rFonts w:hint="default"/>
      </w:rPr>
    </w:lvl>
  </w:abstractNum>
  <w:abstractNum w:abstractNumId="12">
    <w:multiLevelType w:val="hybridMultilevel"/>
    <w:lvl w:ilvl="0">
      <w:start w:val="0"/>
      <w:numFmt w:val="bullet"/>
      <w:lvlText w:val=""/>
      <w:lvlJc w:val="left"/>
      <w:pPr>
        <w:ind w:left="292" w:hanging="228"/>
      </w:pPr>
      <w:rPr>
        <w:rFonts w:hint="default" w:ascii="Symbol" w:hAnsi="Symbol" w:eastAsia="Symbol" w:cs="Symbol"/>
        <w:w w:val="99"/>
        <w:sz w:val="20"/>
        <w:szCs w:val="20"/>
      </w:rPr>
    </w:lvl>
    <w:lvl w:ilvl="1">
      <w:start w:val="0"/>
      <w:numFmt w:val="bullet"/>
      <w:lvlText w:val="•"/>
      <w:lvlJc w:val="left"/>
      <w:pPr>
        <w:ind w:left="504" w:hanging="228"/>
      </w:pPr>
      <w:rPr>
        <w:rFonts w:hint="default"/>
      </w:rPr>
    </w:lvl>
    <w:lvl w:ilvl="2">
      <w:start w:val="0"/>
      <w:numFmt w:val="bullet"/>
      <w:lvlText w:val="•"/>
      <w:lvlJc w:val="left"/>
      <w:pPr>
        <w:ind w:left="708" w:hanging="228"/>
      </w:pPr>
      <w:rPr>
        <w:rFonts w:hint="default"/>
      </w:rPr>
    </w:lvl>
    <w:lvl w:ilvl="3">
      <w:start w:val="0"/>
      <w:numFmt w:val="bullet"/>
      <w:lvlText w:val="•"/>
      <w:lvlJc w:val="left"/>
      <w:pPr>
        <w:ind w:left="912" w:hanging="228"/>
      </w:pPr>
      <w:rPr>
        <w:rFonts w:hint="default"/>
      </w:rPr>
    </w:lvl>
    <w:lvl w:ilvl="4">
      <w:start w:val="0"/>
      <w:numFmt w:val="bullet"/>
      <w:lvlText w:val="•"/>
      <w:lvlJc w:val="left"/>
      <w:pPr>
        <w:ind w:left="1116" w:hanging="228"/>
      </w:pPr>
      <w:rPr>
        <w:rFonts w:hint="default"/>
      </w:rPr>
    </w:lvl>
    <w:lvl w:ilvl="5">
      <w:start w:val="0"/>
      <w:numFmt w:val="bullet"/>
      <w:lvlText w:val="•"/>
      <w:lvlJc w:val="left"/>
      <w:pPr>
        <w:ind w:left="1320" w:hanging="228"/>
      </w:pPr>
      <w:rPr>
        <w:rFonts w:hint="default"/>
      </w:rPr>
    </w:lvl>
    <w:lvl w:ilvl="6">
      <w:start w:val="0"/>
      <w:numFmt w:val="bullet"/>
      <w:lvlText w:val="•"/>
      <w:lvlJc w:val="left"/>
      <w:pPr>
        <w:ind w:left="1524" w:hanging="228"/>
      </w:pPr>
      <w:rPr>
        <w:rFonts w:hint="default"/>
      </w:rPr>
    </w:lvl>
    <w:lvl w:ilvl="7">
      <w:start w:val="0"/>
      <w:numFmt w:val="bullet"/>
      <w:lvlText w:val="•"/>
      <w:lvlJc w:val="left"/>
      <w:pPr>
        <w:ind w:left="1728" w:hanging="228"/>
      </w:pPr>
      <w:rPr>
        <w:rFonts w:hint="default"/>
      </w:rPr>
    </w:lvl>
    <w:lvl w:ilvl="8">
      <w:start w:val="0"/>
      <w:numFmt w:val="bullet"/>
      <w:lvlText w:val="•"/>
      <w:lvlJc w:val="left"/>
      <w:pPr>
        <w:ind w:left="1932" w:hanging="228"/>
      </w:pPr>
      <w:rPr>
        <w:rFonts w:hint="default"/>
      </w:rPr>
    </w:lvl>
  </w:abstractNum>
  <w:abstractNum w:abstractNumId="11">
    <w:multiLevelType w:val="hybridMultilevel"/>
    <w:lvl w:ilvl="0">
      <w:start w:val="0"/>
      <w:numFmt w:val="bullet"/>
      <w:lvlText w:val=""/>
      <w:lvlJc w:val="left"/>
      <w:pPr>
        <w:ind w:left="292" w:hanging="228"/>
      </w:pPr>
      <w:rPr>
        <w:rFonts w:hint="default" w:ascii="Symbol" w:hAnsi="Symbol" w:eastAsia="Symbol" w:cs="Symbol"/>
        <w:w w:val="99"/>
        <w:sz w:val="20"/>
        <w:szCs w:val="20"/>
      </w:rPr>
    </w:lvl>
    <w:lvl w:ilvl="1">
      <w:start w:val="0"/>
      <w:numFmt w:val="bullet"/>
      <w:lvlText w:val="•"/>
      <w:lvlJc w:val="left"/>
      <w:pPr>
        <w:ind w:left="503" w:hanging="228"/>
      </w:pPr>
      <w:rPr>
        <w:rFonts w:hint="default"/>
      </w:rPr>
    </w:lvl>
    <w:lvl w:ilvl="2">
      <w:start w:val="0"/>
      <w:numFmt w:val="bullet"/>
      <w:lvlText w:val="•"/>
      <w:lvlJc w:val="left"/>
      <w:pPr>
        <w:ind w:left="707" w:hanging="228"/>
      </w:pPr>
      <w:rPr>
        <w:rFonts w:hint="default"/>
      </w:rPr>
    </w:lvl>
    <w:lvl w:ilvl="3">
      <w:start w:val="0"/>
      <w:numFmt w:val="bullet"/>
      <w:lvlText w:val="•"/>
      <w:lvlJc w:val="left"/>
      <w:pPr>
        <w:ind w:left="910" w:hanging="228"/>
      </w:pPr>
      <w:rPr>
        <w:rFonts w:hint="default"/>
      </w:rPr>
    </w:lvl>
    <w:lvl w:ilvl="4">
      <w:start w:val="0"/>
      <w:numFmt w:val="bullet"/>
      <w:lvlText w:val="•"/>
      <w:lvlJc w:val="left"/>
      <w:pPr>
        <w:ind w:left="1114" w:hanging="228"/>
      </w:pPr>
      <w:rPr>
        <w:rFonts w:hint="default"/>
      </w:rPr>
    </w:lvl>
    <w:lvl w:ilvl="5">
      <w:start w:val="0"/>
      <w:numFmt w:val="bullet"/>
      <w:lvlText w:val="•"/>
      <w:lvlJc w:val="left"/>
      <w:pPr>
        <w:ind w:left="1317" w:hanging="228"/>
      </w:pPr>
      <w:rPr>
        <w:rFonts w:hint="default"/>
      </w:rPr>
    </w:lvl>
    <w:lvl w:ilvl="6">
      <w:start w:val="0"/>
      <w:numFmt w:val="bullet"/>
      <w:lvlText w:val="•"/>
      <w:lvlJc w:val="left"/>
      <w:pPr>
        <w:ind w:left="1521" w:hanging="228"/>
      </w:pPr>
      <w:rPr>
        <w:rFonts w:hint="default"/>
      </w:rPr>
    </w:lvl>
    <w:lvl w:ilvl="7">
      <w:start w:val="0"/>
      <w:numFmt w:val="bullet"/>
      <w:lvlText w:val="•"/>
      <w:lvlJc w:val="left"/>
      <w:pPr>
        <w:ind w:left="1724" w:hanging="228"/>
      </w:pPr>
      <w:rPr>
        <w:rFonts w:hint="default"/>
      </w:rPr>
    </w:lvl>
    <w:lvl w:ilvl="8">
      <w:start w:val="0"/>
      <w:numFmt w:val="bullet"/>
      <w:lvlText w:val="•"/>
      <w:lvlJc w:val="left"/>
      <w:pPr>
        <w:ind w:left="1928" w:hanging="228"/>
      </w:pPr>
      <w:rPr>
        <w:rFonts w:hint="default"/>
      </w:rPr>
    </w:lvl>
  </w:abstractNum>
  <w:abstractNum w:abstractNumId="10">
    <w:multiLevelType w:val="hybridMultilevel"/>
    <w:lvl w:ilvl="0">
      <w:start w:val="0"/>
      <w:numFmt w:val="bullet"/>
      <w:lvlText w:val=""/>
      <w:lvlJc w:val="left"/>
      <w:pPr>
        <w:ind w:left="292" w:hanging="228"/>
      </w:pPr>
      <w:rPr>
        <w:rFonts w:hint="default" w:ascii="Symbol" w:hAnsi="Symbol" w:eastAsia="Symbol" w:cs="Symbol"/>
        <w:w w:val="99"/>
        <w:sz w:val="20"/>
        <w:szCs w:val="20"/>
      </w:rPr>
    </w:lvl>
    <w:lvl w:ilvl="1">
      <w:start w:val="0"/>
      <w:numFmt w:val="bullet"/>
      <w:lvlText w:val="•"/>
      <w:lvlJc w:val="left"/>
      <w:pPr>
        <w:ind w:left="503" w:hanging="228"/>
      </w:pPr>
      <w:rPr>
        <w:rFonts w:hint="default"/>
      </w:rPr>
    </w:lvl>
    <w:lvl w:ilvl="2">
      <w:start w:val="0"/>
      <w:numFmt w:val="bullet"/>
      <w:lvlText w:val="•"/>
      <w:lvlJc w:val="left"/>
      <w:pPr>
        <w:ind w:left="707" w:hanging="228"/>
      </w:pPr>
      <w:rPr>
        <w:rFonts w:hint="default"/>
      </w:rPr>
    </w:lvl>
    <w:lvl w:ilvl="3">
      <w:start w:val="0"/>
      <w:numFmt w:val="bullet"/>
      <w:lvlText w:val="•"/>
      <w:lvlJc w:val="left"/>
      <w:pPr>
        <w:ind w:left="910" w:hanging="228"/>
      </w:pPr>
      <w:rPr>
        <w:rFonts w:hint="default"/>
      </w:rPr>
    </w:lvl>
    <w:lvl w:ilvl="4">
      <w:start w:val="0"/>
      <w:numFmt w:val="bullet"/>
      <w:lvlText w:val="•"/>
      <w:lvlJc w:val="left"/>
      <w:pPr>
        <w:ind w:left="1114" w:hanging="228"/>
      </w:pPr>
      <w:rPr>
        <w:rFonts w:hint="default"/>
      </w:rPr>
    </w:lvl>
    <w:lvl w:ilvl="5">
      <w:start w:val="0"/>
      <w:numFmt w:val="bullet"/>
      <w:lvlText w:val="•"/>
      <w:lvlJc w:val="left"/>
      <w:pPr>
        <w:ind w:left="1317" w:hanging="228"/>
      </w:pPr>
      <w:rPr>
        <w:rFonts w:hint="default"/>
      </w:rPr>
    </w:lvl>
    <w:lvl w:ilvl="6">
      <w:start w:val="0"/>
      <w:numFmt w:val="bullet"/>
      <w:lvlText w:val="•"/>
      <w:lvlJc w:val="left"/>
      <w:pPr>
        <w:ind w:left="1521" w:hanging="228"/>
      </w:pPr>
      <w:rPr>
        <w:rFonts w:hint="default"/>
      </w:rPr>
    </w:lvl>
    <w:lvl w:ilvl="7">
      <w:start w:val="0"/>
      <w:numFmt w:val="bullet"/>
      <w:lvlText w:val="•"/>
      <w:lvlJc w:val="left"/>
      <w:pPr>
        <w:ind w:left="1724" w:hanging="228"/>
      </w:pPr>
      <w:rPr>
        <w:rFonts w:hint="default"/>
      </w:rPr>
    </w:lvl>
    <w:lvl w:ilvl="8">
      <w:start w:val="0"/>
      <w:numFmt w:val="bullet"/>
      <w:lvlText w:val="•"/>
      <w:lvlJc w:val="left"/>
      <w:pPr>
        <w:ind w:left="1928" w:hanging="228"/>
      </w:pPr>
      <w:rPr>
        <w:rFonts w:hint="default"/>
      </w:rPr>
    </w:lvl>
  </w:abstractNum>
  <w:abstractNum w:abstractNumId="9">
    <w:multiLevelType w:val="hybridMultilevel"/>
    <w:lvl w:ilvl="0">
      <w:start w:val="0"/>
      <w:numFmt w:val="bullet"/>
      <w:lvlText w:val=""/>
      <w:lvlJc w:val="left"/>
      <w:pPr>
        <w:ind w:left="299" w:hanging="228"/>
      </w:pPr>
      <w:rPr>
        <w:rFonts w:hint="default" w:ascii="Symbol" w:hAnsi="Symbol" w:eastAsia="Symbol" w:cs="Symbol"/>
        <w:w w:val="99"/>
        <w:sz w:val="20"/>
        <w:szCs w:val="20"/>
      </w:rPr>
    </w:lvl>
    <w:lvl w:ilvl="1">
      <w:start w:val="0"/>
      <w:numFmt w:val="bullet"/>
      <w:lvlText w:val="•"/>
      <w:lvlJc w:val="left"/>
      <w:pPr>
        <w:ind w:left="504" w:hanging="228"/>
      </w:pPr>
      <w:rPr>
        <w:rFonts w:hint="default"/>
      </w:rPr>
    </w:lvl>
    <w:lvl w:ilvl="2">
      <w:start w:val="0"/>
      <w:numFmt w:val="bullet"/>
      <w:lvlText w:val="•"/>
      <w:lvlJc w:val="left"/>
      <w:pPr>
        <w:ind w:left="708" w:hanging="228"/>
      </w:pPr>
      <w:rPr>
        <w:rFonts w:hint="default"/>
      </w:rPr>
    </w:lvl>
    <w:lvl w:ilvl="3">
      <w:start w:val="0"/>
      <w:numFmt w:val="bullet"/>
      <w:lvlText w:val="•"/>
      <w:lvlJc w:val="left"/>
      <w:pPr>
        <w:ind w:left="912" w:hanging="228"/>
      </w:pPr>
      <w:rPr>
        <w:rFonts w:hint="default"/>
      </w:rPr>
    </w:lvl>
    <w:lvl w:ilvl="4">
      <w:start w:val="0"/>
      <w:numFmt w:val="bullet"/>
      <w:lvlText w:val="•"/>
      <w:lvlJc w:val="left"/>
      <w:pPr>
        <w:ind w:left="1117" w:hanging="228"/>
      </w:pPr>
      <w:rPr>
        <w:rFonts w:hint="default"/>
      </w:rPr>
    </w:lvl>
    <w:lvl w:ilvl="5">
      <w:start w:val="0"/>
      <w:numFmt w:val="bullet"/>
      <w:lvlText w:val="•"/>
      <w:lvlJc w:val="left"/>
      <w:pPr>
        <w:ind w:left="1321" w:hanging="228"/>
      </w:pPr>
      <w:rPr>
        <w:rFonts w:hint="default"/>
      </w:rPr>
    </w:lvl>
    <w:lvl w:ilvl="6">
      <w:start w:val="0"/>
      <w:numFmt w:val="bullet"/>
      <w:lvlText w:val="•"/>
      <w:lvlJc w:val="left"/>
      <w:pPr>
        <w:ind w:left="1525" w:hanging="228"/>
      </w:pPr>
      <w:rPr>
        <w:rFonts w:hint="default"/>
      </w:rPr>
    </w:lvl>
    <w:lvl w:ilvl="7">
      <w:start w:val="0"/>
      <w:numFmt w:val="bullet"/>
      <w:lvlText w:val="•"/>
      <w:lvlJc w:val="left"/>
      <w:pPr>
        <w:ind w:left="1730" w:hanging="228"/>
      </w:pPr>
      <w:rPr>
        <w:rFonts w:hint="default"/>
      </w:rPr>
    </w:lvl>
    <w:lvl w:ilvl="8">
      <w:start w:val="0"/>
      <w:numFmt w:val="bullet"/>
      <w:lvlText w:val="•"/>
      <w:lvlJc w:val="left"/>
      <w:pPr>
        <w:ind w:left="1934" w:hanging="228"/>
      </w:pPr>
      <w:rPr>
        <w:rFonts w:hint="default"/>
      </w:rPr>
    </w:lvl>
  </w:abstractNum>
  <w:abstractNum w:abstractNumId="8">
    <w:multiLevelType w:val="hybridMultilevel"/>
    <w:lvl w:ilvl="0">
      <w:start w:val="1"/>
      <w:numFmt w:val="decimal"/>
      <w:lvlText w:val="%1."/>
      <w:lvlJc w:val="left"/>
      <w:pPr>
        <w:ind w:left="1410" w:hanging="358"/>
        <w:jc w:val="left"/>
      </w:pPr>
      <w:rPr>
        <w:rFonts w:hint="default" w:ascii="Calibri" w:hAnsi="Calibri" w:eastAsia="Calibri" w:cs="Calibri"/>
        <w:color w:val="585858"/>
        <w:w w:val="100"/>
        <w:sz w:val="22"/>
        <w:szCs w:val="22"/>
      </w:rPr>
    </w:lvl>
    <w:lvl w:ilvl="1">
      <w:start w:val="0"/>
      <w:numFmt w:val="bullet"/>
      <w:lvlText w:val="•"/>
      <w:lvlJc w:val="left"/>
      <w:pPr>
        <w:ind w:left="2311" w:hanging="358"/>
      </w:pPr>
      <w:rPr>
        <w:rFonts w:hint="default"/>
      </w:rPr>
    </w:lvl>
    <w:lvl w:ilvl="2">
      <w:start w:val="0"/>
      <w:numFmt w:val="bullet"/>
      <w:lvlText w:val="•"/>
      <w:lvlJc w:val="left"/>
      <w:pPr>
        <w:ind w:left="3202" w:hanging="358"/>
      </w:pPr>
      <w:rPr>
        <w:rFonts w:hint="default"/>
      </w:rPr>
    </w:lvl>
    <w:lvl w:ilvl="3">
      <w:start w:val="0"/>
      <w:numFmt w:val="bullet"/>
      <w:lvlText w:val="•"/>
      <w:lvlJc w:val="left"/>
      <w:pPr>
        <w:ind w:left="4093" w:hanging="358"/>
      </w:pPr>
      <w:rPr>
        <w:rFonts w:hint="default"/>
      </w:rPr>
    </w:lvl>
    <w:lvl w:ilvl="4">
      <w:start w:val="0"/>
      <w:numFmt w:val="bullet"/>
      <w:lvlText w:val="•"/>
      <w:lvlJc w:val="left"/>
      <w:pPr>
        <w:ind w:left="4984" w:hanging="358"/>
      </w:pPr>
      <w:rPr>
        <w:rFonts w:hint="default"/>
      </w:rPr>
    </w:lvl>
    <w:lvl w:ilvl="5">
      <w:start w:val="0"/>
      <w:numFmt w:val="bullet"/>
      <w:lvlText w:val="•"/>
      <w:lvlJc w:val="left"/>
      <w:pPr>
        <w:ind w:left="5875" w:hanging="358"/>
      </w:pPr>
      <w:rPr>
        <w:rFonts w:hint="default"/>
      </w:rPr>
    </w:lvl>
    <w:lvl w:ilvl="6">
      <w:start w:val="0"/>
      <w:numFmt w:val="bullet"/>
      <w:lvlText w:val="•"/>
      <w:lvlJc w:val="left"/>
      <w:pPr>
        <w:ind w:left="6766" w:hanging="358"/>
      </w:pPr>
      <w:rPr>
        <w:rFonts w:hint="default"/>
      </w:rPr>
    </w:lvl>
    <w:lvl w:ilvl="7">
      <w:start w:val="0"/>
      <w:numFmt w:val="bullet"/>
      <w:lvlText w:val="•"/>
      <w:lvlJc w:val="left"/>
      <w:pPr>
        <w:ind w:left="7657" w:hanging="358"/>
      </w:pPr>
      <w:rPr>
        <w:rFonts w:hint="default"/>
      </w:rPr>
    </w:lvl>
    <w:lvl w:ilvl="8">
      <w:start w:val="0"/>
      <w:numFmt w:val="bullet"/>
      <w:lvlText w:val="•"/>
      <w:lvlJc w:val="left"/>
      <w:pPr>
        <w:ind w:left="8548" w:hanging="358"/>
      </w:pPr>
      <w:rPr>
        <w:rFonts w:hint="default"/>
      </w:rPr>
    </w:lvl>
  </w:abstractNum>
  <w:abstractNum w:abstractNumId="7">
    <w:multiLevelType w:val="hybridMultilevel"/>
    <w:lvl w:ilvl="0">
      <w:start w:val="0"/>
      <w:numFmt w:val="bullet"/>
      <w:lvlText w:val="-"/>
      <w:lvlJc w:val="left"/>
      <w:pPr>
        <w:ind w:left="1213" w:hanging="360"/>
      </w:pPr>
      <w:rPr>
        <w:rFonts w:hint="default" w:ascii="Times New Roman" w:hAnsi="Times New Roman" w:eastAsia="Times New Roman" w:cs="Times New Roman"/>
        <w:color w:val="585858"/>
        <w:w w:val="100"/>
        <w:sz w:val="22"/>
        <w:szCs w:val="22"/>
      </w:rPr>
    </w:lvl>
    <w:lvl w:ilvl="1">
      <w:start w:val="0"/>
      <w:numFmt w:val="bullet"/>
      <w:lvlText w:val="•"/>
      <w:lvlJc w:val="left"/>
      <w:pPr>
        <w:ind w:left="2131" w:hanging="360"/>
      </w:pPr>
      <w:rPr>
        <w:rFonts w:hint="default"/>
      </w:rPr>
    </w:lvl>
    <w:lvl w:ilvl="2">
      <w:start w:val="0"/>
      <w:numFmt w:val="bullet"/>
      <w:lvlText w:val="•"/>
      <w:lvlJc w:val="left"/>
      <w:pPr>
        <w:ind w:left="3042" w:hanging="360"/>
      </w:pPr>
      <w:rPr>
        <w:rFonts w:hint="default"/>
      </w:rPr>
    </w:lvl>
    <w:lvl w:ilvl="3">
      <w:start w:val="0"/>
      <w:numFmt w:val="bullet"/>
      <w:lvlText w:val="•"/>
      <w:lvlJc w:val="left"/>
      <w:pPr>
        <w:ind w:left="3953" w:hanging="360"/>
      </w:pPr>
      <w:rPr>
        <w:rFonts w:hint="default"/>
      </w:rPr>
    </w:lvl>
    <w:lvl w:ilvl="4">
      <w:start w:val="0"/>
      <w:numFmt w:val="bullet"/>
      <w:lvlText w:val="•"/>
      <w:lvlJc w:val="left"/>
      <w:pPr>
        <w:ind w:left="4864" w:hanging="360"/>
      </w:pPr>
      <w:rPr>
        <w:rFonts w:hint="default"/>
      </w:rPr>
    </w:lvl>
    <w:lvl w:ilvl="5">
      <w:start w:val="0"/>
      <w:numFmt w:val="bullet"/>
      <w:lvlText w:val="•"/>
      <w:lvlJc w:val="left"/>
      <w:pPr>
        <w:ind w:left="5775" w:hanging="360"/>
      </w:pPr>
      <w:rPr>
        <w:rFonts w:hint="default"/>
      </w:rPr>
    </w:lvl>
    <w:lvl w:ilvl="6">
      <w:start w:val="0"/>
      <w:numFmt w:val="bullet"/>
      <w:lvlText w:val="•"/>
      <w:lvlJc w:val="left"/>
      <w:pPr>
        <w:ind w:left="6686" w:hanging="360"/>
      </w:pPr>
      <w:rPr>
        <w:rFonts w:hint="default"/>
      </w:rPr>
    </w:lvl>
    <w:lvl w:ilvl="7">
      <w:start w:val="0"/>
      <w:numFmt w:val="bullet"/>
      <w:lvlText w:val="•"/>
      <w:lvlJc w:val="left"/>
      <w:pPr>
        <w:ind w:left="7597" w:hanging="360"/>
      </w:pPr>
      <w:rPr>
        <w:rFonts w:hint="default"/>
      </w:rPr>
    </w:lvl>
    <w:lvl w:ilvl="8">
      <w:start w:val="0"/>
      <w:numFmt w:val="bullet"/>
      <w:lvlText w:val="•"/>
      <w:lvlJc w:val="left"/>
      <w:pPr>
        <w:ind w:left="8508" w:hanging="360"/>
      </w:pPr>
      <w:rPr>
        <w:rFonts w:hint="default"/>
      </w:rPr>
    </w:lvl>
  </w:abstractNum>
  <w:abstractNum w:abstractNumId="6">
    <w:multiLevelType w:val="hybridMultilevel"/>
    <w:lvl w:ilvl="0">
      <w:start w:val="1"/>
      <w:numFmt w:val="decimal"/>
      <w:lvlText w:val="%1."/>
      <w:lvlJc w:val="left"/>
      <w:pPr>
        <w:ind w:left="505" w:hanging="360"/>
        <w:jc w:val="left"/>
      </w:pPr>
      <w:rPr>
        <w:rFonts w:hint="default" w:ascii="Calibri" w:hAnsi="Calibri" w:eastAsia="Calibri" w:cs="Calibri"/>
        <w:color w:val="585858"/>
        <w:w w:val="100"/>
        <w:sz w:val="22"/>
        <w:szCs w:val="22"/>
      </w:rPr>
    </w:lvl>
    <w:lvl w:ilvl="1">
      <w:start w:val="0"/>
      <w:numFmt w:val="bullet"/>
      <w:lvlText w:val="•"/>
      <w:lvlJc w:val="left"/>
      <w:pPr>
        <w:ind w:left="973" w:hanging="360"/>
      </w:pPr>
      <w:rPr>
        <w:rFonts w:hint="default"/>
      </w:rPr>
    </w:lvl>
    <w:lvl w:ilvl="2">
      <w:start w:val="0"/>
      <w:numFmt w:val="bullet"/>
      <w:lvlText w:val="•"/>
      <w:lvlJc w:val="left"/>
      <w:pPr>
        <w:ind w:left="1447" w:hanging="360"/>
      </w:pPr>
      <w:rPr>
        <w:rFonts w:hint="default"/>
      </w:rPr>
    </w:lvl>
    <w:lvl w:ilvl="3">
      <w:start w:val="0"/>
      <w:numFmt w:val="bullet"/>
      <w:lvlText w:val="•"/>
      <w:lvlJc w:val="left"/>
      <w:pPr>
        <w:ind w:left="1921" w:hanging="360"/>
      </w:pPr>
      <w:rPr>
        <w:rFonts w:hint="default"/>
      </w:rPr>
    </w:lvl>
    <w:lvl w:ilvl="4">
      <w:start w:val="0"/>
      <w:numFmt w:val="bullet"/>
      <w:lvlText w:val="•"/>
      <w:lvlJc w:val="left"/>
      <w:pPr>
        <w:ind w:left="2395" w:hanging="360"/>
      </w:pPr>
      <w:rPr>
        <w:rFonts w:hint="default"/>
      </w:rPr>
    </w:lvl>
    <w:lvl w:ilvl="5">
      <w:start w:val="0"/>
      <w:numFmt w:val="bullet"/>
      <w:lvlText w:val="•"/>
      <w:lvlJc w:val="left"/>
      <w:pPr>
        <w:ind w:left="2869" w:hanging="360"/>
      </w:pPr>
      <w:rPr>
        <w:rFonts w:hint="default"/>
      </w:rPr>
    </w:lvl>
    <w:lvl w:ilvl="6">
      <w:start w:val="0"/>
      <w:numFmt w:val="bullet"/>
      <w:lvlText w:val="•"/>
      <w:lvlJc w:val="left"/>
      <w:pPr>
        <w:ind w:left="3342" w:hanging="360"/>
      </w:pPr>
      <w:rPr>
        <w:rFonts w:hint="default"/>
      </w:rPr>
    </w:lvl>
    <w:lvl w:ilvl="7">
      <w:start w:val="0"/>
      <w:numFmt w:val="bullet"/>
      <w:lvlText w:val="•"/>
      <w:lvlJc w:val="left"/>
      <w:pPr>
        <w:ind w:left="3816" w:hanging="360"/>
      </w:pPr>
      <w:rPr>
        <w:rFonts w:hint="default"/>
      </w:rPr>
    </w:lvl>
    <w:lvl w:ilvl="8">
      <w:start w:val="0"/>
      <w:numFmt w:val="bullet"/>
      <w:lvlText w:val="•"/>
      <w:lvlJc w:val="left"/>
      <w:pPr>
        <w:ind w:left="4290" w:hanging="360"/>
      </w:pPr>
      <w:rPr>
        <w:rFonts w:hint="default"/>
      </w:rPr>
    </w:lvl>
  </w:abstractNum>
  <w:abstractNum w:abstractNumId="5">
    <w:multiLevelType w:val="hybridMultilevel"/>
    <w:lvl w:ilvl="0">
      <w:start w:val="1"/>
      <w:numFmt w:val="decimal"/>
      <w:lvlText w:val="%1."/>
      <w:lvlJc w:val="left"/>
      <w:pPr>
        <w:ind w:left="504" w:hanging="360"/>
        <w:jc w:val="left"/>
      </w:pPr>
      <w:rPr>
        <w:rFonts w:hint="default" w:ascii="Calibri" w:hAnsi="Calibri" w:eastAsia="Calibri" w:cs="Calibri"/>
        <w:color w:val="585858"/>
        <w:w w:val="100"/>
        <w:sz w:val="22"/>
        <w:szCs w:val="22"/>
      </w:rPr>
    </w:lvl>
    <w:lvl w:ilvl="1">
      <w:start w:val="0"/>
      <w:numFmt w:val="bullet"/>
      <w:lvlText w:val="•"/>
      <w:lvlJc w:val="left"/>
      <w:pPr>
        <w:ind w:left="973" w:hanging="360"/>
      </w:pPr>
      <w:rPr>
        <w:rFonts w:hint="default"/>
      </w:rPr>
    </w:lvl>
    <w:lvl w:ilvl="2">
      <w:start w:val="0"/>
      <w:numFmt w:val="bullet"/>
      <w:lvlText w:val="•"/>
      <w:lvlJc w:val="left"/>
      <w:pPr>
        <w:ind w:left="1447" w:hanging="360"/>
      </w:pPr>
      <w:rPr>
        <w:rFonts w:hint="default"/>
      </w:rPr>
    </w:lvl>
    <w:lvl w:ilvl="3">
      <w:start w:val="0"/>
      <w:numFmt w:val="bullet"/>
      <w:lvlText w:val="•"/>
      <w:lvlJc w:val="left"/>
      <w:pPr>
        <w:ind w:left="1921" w:hanging="360"/>
      </w:pPr>
      <w:rPr>
        <w:rFonts w:hint="default"/>
      </w:rPr>
    </w:lvl>
    <w:lvl w:ilvl="4">
      <w:start w:val="0"/>
      <w:numFmt w:val="bullet"/>
      <w:lvlText w:val="•"/>
      <w:lvlJc w:val="left"/>
      <w:pPr>
        <w:ind w:left="2395" w:hanging="360"/>
      </w:pPr>
      <w:rPr>
        <w:rFonts w:hint="default"/>
      </w:rPr>
    </w:lvl>
    <w:lvl w:ilvl="5">
      <w:start w:val="0"/>
      <w:numFmt w:val="bullet"/>
      <w:lvlText w:val="•"/>
      <w:lvlJc w:val="left"/>
      <w:pPr>
        <w:ind w:left="2869" w:hanging="360"/>
      </w:pPr>
      <w:rPr>
        <w:rFonts w:hint="default"/>
      </w:rPr>
    </w:lvl>
    <w:lvl w:ilvl="6">
      <w:start w:val="0"/>
      <w:numFmt w:val="bullet"/>
      <w:lvlText w:val="•"/>
      <w:lvlJc w:val="left"/>
      <w:pPr>
        <w:ind w:left="3342" w:hanging="360"/>
      </w:pPr>
      <w:rPr>
        <w:rFonts w:hint="default"/>
      </w:rPr>
    </w:lvl>
    <w:lvl w:ilvl="7">
      <w:start w:val="0"/>
      <w:numFmt w:val="bullet"/>
      <w:lvlText w:val="•"/>
      <w:lvlJc w:val="left"/>
      <w:pPr>
        <w:ind w:left="3816" w:hanging="360"/>
      </w:pPr>
      <w:rPr>
        <w:rFonts w:hint="default"/>
      </w:rPr>
    </w:lvl>
    <w:lvl w:ilvl="8">
      <w:start w:val="0"/>
      <w:numFmt w:val="bullet"/>
      <w:lvlText w:val="•"/>
      <w:lvlJc w:val="left"/>
      <w:pPr>
        <w:ind w:left="4290" w:hanging="360"/>
      </w:pPr>
      <w:rPr>
        <w:rFonts w:hint="default"/>
      </w:rPr>
    </w:lvl>
  </w:abstractNum>
  <w:abstractNum w:abstractNumId="4">
    <w:multiLevelType w:val="hybridMultilevel"/>
    <w:lvl w:ilvl="0">
      <w:start w:val="1"/>
      <w:numFmt w:val="decimal"/>
      <w:lvlText w:val="%1."/>
      <w:lvlJc w:val="left"/>
      <w:pPr>
        <w:ind w:left="596" w:hanging="360"/>
        <w:jc w:val="left"/>
      </w:pPr>
      <w:rPr>
        <w:rFonts w:hint="default" w:ascii="Calibri" w:hAnsi="Calibri" w:eastAsia="Calibri" w:cs="Calibri"/>
        <w:color w:val="585858"/>
        <w:w w:val="100"/>
        <w:sz w:val="22"/>
        <w:szCs w:val="22"/>
      </w:rPr>
    </w:lvl>
    <w:lvl w:ilvl="1">
      <w:start w:val="0"/>
      <w:numFmt w:val="bullet"/>
      <w:lvlText w:val="•"/>
      <w:lvlJc w:val="left"/>
      <w:pPr>
        <w:ind w:left="1470" w:hanging="360"/>
      </w:pPr>
      <w:rPr>
        <w:rFonts w:hint="default"/>
      </w:rPr>
    </w:lvl>
    <w:lvl w:ilvl="2">
      <w:start w:val="0"/>
      <w:numFmt w:val="bullet"/>
      <w:lvlText w:val="•"/>
      <w:lvlJc w:val="left"/>
      <w:pPr>
        <w:ind w:left="2341" w:hanging="360"/>
      </w:pPr>
      <w:rPr>
        <w:rFonts w:hint="default"/>
      </w:rPr>
    </w:lvl>
    <w:lvl w:ilvl="3">
      <w:start w:val="0"/>
      <w:numFmt w:val="bullet"/>
      <w:lvlText w:val="•"/>
      <w:lvlJc w:val="left"/>
      <w:pPr>
        <w:ind w:left="3211" w:hanging="360"/>
      </w:pPr>
      <w:rPr>
        <w:rFonts w:hint="default"/>
      </w:rPr>
    </w:lvl>
    <w:lvl w:ilvl="4">
      <w:start w:val="0"/>
      <w:numFmt w:val="bullet"/>
      <w:lvlText w:val="•"/>
      <w:lvlJc w:val="left"/>
      <w:pPr>
        <w:ind w:left="4082" w:hanging="360"/>
      </w:pPr>
      <w:rPr>
        <w:rFonts w:hint="default"/>
      </w:rPr>
    </w:lvl>
    <w:lvl w:ilvl="5">
      <w:start w:val="0"/>
      <w:numFmt w:val="bullet"/>
      <w:lvlText w:val="•"/>
      <w:lvlJc w:val="left"/>
      <w:pPr>
        <w:ind w:left="4953" w:hanging="360"/>
      </w:pPr>
      <w:rPr>
        <w:rFonts w:hint="default"/>
      </w:rPr>
    </w:lvl>
    <w:lvl w:ilvl="6">
      <w:start w:val="0"/>
      <w:numFmt w:val="bullet"/>
      <w:lvlText w:val="•"/>
      <w:lvlJc w:val="left"/>
      <w:pPr>
        <w:ind w:left="5823" w:hanging="360"/>
      </w:pPr>
      <w:rPr>
        <w:rFonts w:hint="default"/>
      </w:rPr>
    </w:lvl>
    <w:lvl w:ilvl="7">
      <w:start w:val="0"/>
      <w:numFmt w:val="bullet"/>
      <w:lvlText w:val="•"/>
      <w:lvlJc w:val="left"/>
      <w:pPr>
        <w:ind w:left="6694" w:hanging="360"/>
      </w:pPr>
      <w:rPr>
        <w:rFonts w:hint="default"/>
      </w:rPr>
    </w:lvl>
    <w:lvl w:ilvl="8">
      <w:start w:val="0"/>
      <w:numFmt w:val="bullet"/>
      <w:lvlText w:val="•"/>
      <w:lvlJc w:val="left"/>
      <w:pPr>
        <w:ind w:left="7564" w:hanging="360"/>
      </w:pPr>
      <w:rPr>
        <w:rFonts w:hint="default"/>
      </w:rPr>
    </w:lvl>
  </w:abstractNum>
  <w:abstractNum w:abstractNumId="3">
    <w:multiLevelType w:val="hybridMultilevel"/>
    <w:lvl w:ilvl="0">
      <w:start w:val="1"/>
      <w:numFmt w:val="decimal"/>
      <w:lvlText w:val="%1."/>
      <w:lvlJc w:val="left"/>
      <w:pPr>
        <w:ind w:left="550" w:hanging="360"/>
        <w:jc w:val="left"/>
      </w:pPr>
      <w:rPr>
        <w:rFonts w:hint="default" w:ascii="Calibri" w:hAnsi="Calibri" w:eastAsia="Calibri" w:cs="Calibri"/>
        <w:color w:val="585858"/>
        <w:w w:val="100"/>
        <w:sz w:val="22"/>
        <w:szCs w:val="22"/>
      </w:rPr>
    </w:lvl>
    <w:lvl w:ilvl="1">
      <w:start w:val="0"/>
      <w:numFmt w:val="bullet"/>
      <w:lvlText w:val="•"/>
      <w:lvlJc w:val="left"/>
      <w:pPr>
        <w:ind w:left="1027" w:hanging="360"/>
      </w:pPr>
      <w:rPr>
        <w:rFonts w:hint="default"/>
      </w:rPr>
    </w:lvl>
    <w:lvl w:ilvl="2">
      <w:start w:val="0"/>
      <w:numFmt w:val="bullet"/>
      <w:lvlText w:val="•"/>
      <w:lvlJc w:val="left"/>
      <w:pPr>
        <w:ind w:left="1495" w:hanging="360"/>
      </w:pPr>
      <w:rPr>
        <w:rFonts w:hint="default"/>
      </w:rPr>
    </w:lvl>
    <w:lvl w:ilvl="3">
      <w:start w:val="0"/>
      <w:numFmt w:val="bullet"/>
      <w:lvlText w:val="•"/>
      <w:lvlJc w:val="left"/>
      <w:pPr>
        <w:ind w:left="1963" w:hanging="360"/>
      </w:pPr>
      <w:rPr>
        <w:rFonts w:hint="default"/>
      </w:rPr>
    </w:lvl>
    <w:lvl w:ilvl="4">
      <w:start w:val="0"/>
      <w:numFmt w:val="bullet"/>
      <w:lvlText w:val="•"/>
      <w:lvlJc w:val="left"/>
      <w:pPr>
        <w:ind w:left="2431" w:hanging="360"/>
      </w:pPr>
      <w:rPr>
        <w:rFonts w:hint="default"/>
      </w:rPr>
    </w:lvl>
    <w:lvl w:ilvl="5">
      <w:start w:val="0"/>
      <w:numFmt w:val="bullet"/>
      <w:lvlText w:val="•"/>
      <w:lvlJc w:val="left"/>
      <w:pPr>
        <w:ind w:left="2899" w:hanging="360"/>
      </w:pPr>
      <w:rPr>
        <w:rFonts w:hint="default"/>
      </w:rPr>
    </w:lvl>
    <w:lvl w:ilvl="6">
      <w:start w:val="0"/>
      <w:numFmt w:val="bullet"/>
      <w:lvlText w:val="•"/>
      <w:lvlJc w:val="left"/>
      <w:pPr>
        <w:ind w:left="3366" w:hanging="360"/>
      </w:pPr>
      <w:rPr>
        <w:rFonts w:hint="default"/>
      </w:rPr>
    </w:lvl>
    <w:lvl w:ilvl="7">
      <w:start w:val="0"/>
      <w:numFmt w:val="bullet"/>
      <w:lvlText w:val="•"/>
      <w:lvlJc w:val="left"/>
      <w:pPr>
        <w:ind w:left="3834" w:hanging="360"/>
      </w:pPr>
      <w:rPr>
        <w:rFonts w:hint="default"/>
      </w:rPr>
    </w:lvl>
    <w:lvl w:ilvl="8">
      <w:start w:val="0"/>
      <w:numFmt w:val="bullet"/>
      <w:lvlText w:val="•"/>
      <w:lvlJc w:val="left"/>
      <w:pPr>
        <w:ind w:left="4302" w:hanging="360"/>
      </w:pPr>
      <w:rPr>
        <w:rFonts w:hint="default"/>
      </w:rPr>
    </w:lvl>
  </w:abstractNum>
  <w:abstractNum w:abstractNumId="2">
    <w:multiLevelType w:val="hybridMultilevel"/>
    <w:lvl w:ilvl="0">
      <w:start w:val="1"/>
      <w:numFmt w:val="decimal"/>
      <w:lvlText w:val="%1."/>
      <w:lvlJc w:val="left"/>
      <w:pPr>
        <w:ind w:left="504" w:hanging="360"/>
        <w:jc w:val="left"/>
      </w:pPr>
      <w:rPr>
        <w:rFonts w:hint="default" w:ascii="Calibri" w:hAnsi="Calibri" w:eastAsia="Calibri" w:cs="Calibri"/>
        <w:color w:val="585858"/>
        <w:w w:val="100"/>
        <w:sz w:val="22"/>
        <w:szCs w:val="22"/>
      </w:rPr>
    </w:lvl>
    <w:lvl w:ilvl="1">
      <w:start w:val="0"/>
      <w:numFmt w:val="bullet"/>
      <w:lvlText w:val="•"/>
      <w:lvlJc w:val="left"/>
      <w:pPr>
        <w:ind w:left="973" w:hanging="360"/>
      </w:pPr>
      <w:rPr>
        <w:rFonts w:hint="default"/>
      </w:rPr>
    </w:lvl>
    <w:lvl w:ilvl="2">
      <w:start w:val="0"/>
      <w:numFmt w:val="bullet"/>
      <w:lvlText w:val="•"/>
      <w:lvlJc w:val="left"/>
      <w:pPr>
        <w:ind w:left="1447" w:hanging="360"/>
      </w:pPr>
      <w:rPr>
        <w:rFonts w:hint="default"/>
      </w:rPr>
    </w:lvl>
    <w:lvl w:ilvl="3">
      <w:start w:val="0"/>
      <w:numFmt w:val="bullet"/>
      <w:lvlText w:val="•"/>
      <w:lvlJc w:val="left"/>
      <w:pPr>
        <w:ind w:left="1921" w:hanging="360"/>
      </w:pPr>
      <w:rPr>
        <w:rFonts w:hint="default"/>
      </w:rPr>
    </w:lvl>
    <w:lvl w:ilvl="4">
      <w:start w:val="0"/>
      <w:numFmt w:val="bullet"/>
      <w:lvlText w:val="•"/>
      <w:lvlJc w:val="left"/>
      <w:pPr>
        <w:ind w:left="2395" w:hanging="360"/>
      </w:pPr>
      <w:rPr>
        <w:rFonts w:hint="default"/>
      </w:rPr>
    </w:lvl>
    <w:lvl w:ilvl="5">
      <w:start w:val="0"/>
      <w:numFmt w:val="bullet"/>
      <w:lvlText w:val="•"/>
      <w:lvlJc w:val="left"/>
      <w:pPr>
        <w:ind w:left="2869" w:hanging="360"/>
      </w:pPr>
      <w:rPr>
        <w:rFonts w:hint="default"/>
      </w:rPr>
    </w:lvl>
    <w:lvl w:ilvl="6">
      <w:start w:val="0"/>
      <w:numFmt w:val="bullet"/>
      <w:lvlText w:val="•"/>
      <w:lvlJc w:val="left"/>
      <w:pPr>
        <w:ind w:left="3342" w:hanging="360"/>
      </w:pPr>
      <w:rPr>
        <w:rFonts w:hint="default"/>
      </w:rPr>
    </w:lvl>
    <w:lvl w:ilvl="7">
      <w:start w:val="0"/>
      <w:numFmt w:val="bullet"/>
      <w:lvlText w:val="•"/>
      <w:lvlJc w:val="left"/>
      <w:pPr>
        <w:ind w:left="3816" w:hanging="360"/>
      </w:pPr>
      <w:rPr>
        <w:rFonts w:hint="default"/>
      </w:rPr>
    </w:lvl>
    <w:lvl w:ilvl="8">
      <w:start w:val="0"/>
      <w:numFmt w:val="bullet"/>
      <w:lvlText w:val="•"/>
      <w:lvlJc w:val="left"/>
      <w:pPr>
        <w:ind w:left="4290" w:hanging="360"/>
      </w:pPr>
      <w:rPr>
        <w:rFonts w:hint="default"/>
      </w:rPr>
    </w:lvl>
  </w:abstractNum>
  <w:abstractNum w:abstractNumId="1">
    <w:multiLevelType w:val="hybridMultilevel"/>
    <w:lvl w:ilvl="0">
      <w:start w:val="1"/>
      <w:numFmt w:val="decimal"/>
      <w:lvlText w:val="%1."/>
      <w:lvlJc w:val="left"/>
      <w:pPr>
        <w:ind w:left="506" w:hanging="360"/>
        <w:jc w:val="left"/>
      </w:pPr>
      <w:rPr>
        <w:rFonts w:hint="default" w:ascii="Calibri" w:hAnsi="Calibri" w:eastAsia="Calibri" w:cs="Calibri"/>
        <w:color w:val="585858"/>
        <w:w w:val="100"/>
        <w:sz w:val="22"/>
        <w:szCs w:val="22"/>
      </w:rPr>
    </w:lvl>
    <w:lvl w:ilvl="1">
      <w:start w:val="0"/>
      <w:numFmt w:val="bullet"/>
      <w:lvlText w:val="•"/>
      <w:lvlJc w:val="left"/>
      <w:pPr>
        <w:ind w:left="990" w:hanging="360"/>
      </w:pPr>
      <w:rPr>
        <w:rFonts w:hint="default"/>
      </w:rPr>
    </w:lvl>
    <w:lvl w:ilvl="2">
      <w:start w:val="0"/>
      <w:numFmt w:val="bullet"/>
      <w:lvlText w:val="•"/>
      <w:lvlJc w:val="left"/>
      <w:pPr>
        <w:ind w:left="1481" w:hanging="360"/>
      </w:pPr>
      <w:rPr>
        <w:rFonts w:hint="default"/>
      </w:rPr>
    </w:lvl>
    <w:lvl w:ilvl="3">
      <w:start w:val="0"/>
      <w:numFmt w:val="bullet"/>
      <w:lvlText w:val="•"/>
      <w:lvlJc w:val="left"/>
      <w:pPr>
        <w:ind w:left="1972" w:hanging="360"/>
      </w:pPr>
      <w:rPr>
        <w:rFonts w:hint="default"/>
      </w:rPr>
    </w:lvl>
    <w:lvl w:ilvl="4">
      <w:start w:val="0"/>
      <w:numFmt w:val="bullet"/>
      <w:lvlText w:val="•"/>
      <w:lvlJc w:val="left"/>
      <w:pPr>
        <w:ind w:left="2463" w:hanging="360"/>
      </w:pPr>
      <w:rPr>
        <w:rFonts w:hint="default"/>
      </w:rPr>
    </w:lvl>
    <w:lvl w:ilvl="5">
      <w:start w:val="0"/>
      <w:numFmt w:val="bullet"/>
      <w:lvlText w:val="•"/>
      <w:lvlJc w:val="left"/>
      <w:pPr>
        <w:ind w:left="2954" w:hanging="360"/>
      </w:pPr>
      <w:rPr>
        <w:rFonts w:hint="default"/>
      </w:rPr>
    </w:lvl>
    <w:lvl w:ilvl="6">
      <w:start w:val="0"/>
      <w:numFmt w:val="bullet"/>
      <w:lvlText w:val="•"/>
      <w:lvlJc w:val="left"/>
      <w:pPr>
        <w:ind w:left="3444" w:hanging="360"/>
      </w:pPr>
      <w:rPr>
        <w:rFonts w:hint="default"/>
      </w:rPr>
    </w:lvl>
    <w:lvl w:ilvl="7">
      <w:start w:val="0"/>
      <w:numFmt w:val="bullet"/>
      <w:lvlText w:val="•"/>
      <w:lvlJc w:val="left"/>
      <w:pPr>
        <w:ind w:left="3935" w:hanging="360"/>
      </w:pPr>
      <w:rPr>
        <w:rFonts w:hint="default"/>
      </w:rPr>
    </w:lvl>
    <w:lvl w:ilvl="8">
      <w:start w:val="0"/>
      <w:numFmt w:val="bullet"/>
      <w:lvlText w:val="•"/>
      <w:lvlJc w:val="left"/>
      <w:pPr>
        <w:ind w:left="4426" w:hanging="360"/>
      </w:pPr>
      <w:rPr>
        <w:rFonts w:hint="default"/>
      </w:rPr>
    </w:lvl>
  </w:abstractNum>
  <w:abstractNum w:abstractNumId="0">
    <w:multiLevelType w:val="hybridMultilevel"/>
    <w:lvl w:ilvl="0">
      <w:start w:val="1"/>
      <w:numFmt w:val="decimal"/>
      <w:lvlText w:val="%1."/>
      <w:lvlJc w:val="left"/>
      <w:pPr>
        <w:ind w:left="699" w:hanging="567"/>
        <w:jc w:val="left"/>
      </w:pPr>
      <w:rPr>
        <w:rFonts w:hint="default" w:ascii="Calibri" w:hAnsi="Calibri" w:eastAsia="Calibri" w:cs="Calibri"/>
        <w:b/>
        <w:bCs/>
        <w:i/>
        <w:color w:val="585858"/>
        <w:spacing w:val="-3"/>
        <w:w w:val="100"/>
        <w:sz w:val="24"/>
        <w:szCs w:val="24"/>
      </w:rPr>
    </w:lvl>
    <w:lvl w:ilvl="1">
      <w:start w:val="1"/>
      <w:numFmt w:val="decimal"/>
      <w:lvlText w:val="%2."/>
      <w:lvlJc w:val="left"/>
      <w:pPr>
        <w:ind w:left="985" w:hanging="495"/>
        <w:jc w:val="left"/>
      </w:pPr>
      <w:rPr>
        <w:rFonts w:hint="default" w:ascii="Calibri" w:hAnsi="Calibri" w:eastAsia="Calibri" w:cs="Calibri"/>
        <w:b/>
        <w:bCs/>
        <w:color w:val="585858"/>
        <w:spacing w:val="-1"/>
        <w:w w:val="100"/>
        <w:sz w:val="28"/>
        <w:szCs w:val="28"/>
      </w:rPr>
    </w:lvl>
    <w:lvl w:ilvl="2">
      <w:start w:val="0"/>
      <w:numFmt w:val="bullet"/>
      <w:lvlText w:val=""/>
      <w:lvlJc w:val="left"/>
      <w:pPr>
        <w:ind w:left="1213" w:hanging="360"/>
      </w:pPr>
      <w:rPr>
        <w:rFonts w:hint="default" w:ascii="Symbol" w:hAnsi="Symbol" w:eastAsia="Symbol" w:cs="Symbol"/>
        <w:color w:val="585858"/>
        <w:w w:val="100"/>
        <w:sz w:val="22"/>
        <w:szCs w:val="22"/>
      </w:rPr>
    </w:lvl>
    <w:lvl w:ilvl="3">
      <w:start w:val="0"/>
      <w:numFmt w:val="bullet"/>
      <w:lvlText w:val="•"/>
      <w:lvlJc w:val="left"/>
      <w:pPr>
        <w:ind w:left="2358" w:hanging="360"/>
      </w:pPr>
      <w:rPr>
        <w:rFonts w:hint="default"/>
      </w:rPr>
    </w:lvl>
    <w:lvl w:ilvl="4">
      <w:start w:val="0"/>
      <w:numFmt w:val="bullet"/>
      <w:lvlText w:val="•"/>
      <w:lvlJc w:val="left"/>
      <w:pPr>
        <w:ind w:left="3497" w:hanging="360"/>
      </w:pPr>
      <w:rPr>
        <w:rFonts w:hint="default"/>
      </w:rPr>
    </w:lvl>
    <w:lvl w:ilvl="5">
      <w:start w:val="0"/>
      <w:numFmt w:val="bullet"/>
      <w:lvlText w:val="•"/>
      <w:lvlJc w:val="left"/>
      <w:pPr>
        <w:ind w:left="4636" w:hanging="360"/>
      </w:pPr>
      <w:rPr>
        <w:rFonts w:hint="default"/>
      </w:rPr>
    </w:lvl>
    <w:lvl w:ilvl="6">
      <w:start w:val="0"/>
      <w:numFmt w:val="bullet"/>
      <w:lvlText w:val="•"/>
      <w:lvlJc w:val="left"/>
      <w:pPr>
        <w:ind w:left="5775" w:hanging="360"/>
      </w:pPr>
      <w:rPr>
        <w:rFonts w:hint="default"/>
      </w:rPr>
    </w:lvl>
    <w:lvl w:ilvl="7">
      <w:start w:val="0"/>
      <w:numFmt w:val="bullet"/>
      <w:lvlText w:val="•"/>
      <w:lvlJc w:val="left"/>
      <w:pPr>
        <w:ind w:left="6914" w:hanging="360"/>
      </w:pPr>
      <w:rPr>
        <w:rFonts w:hint="default"/>
      </w:rPr>
    </w:lvl>
    <w:lvl w:ilvl="8">
      <w:start w:val="0"/>
      <w:numFmt w:val="bullet"/>
      <w:lvlText w:val="•"/>
      <w:lvlJc w:val="left"/>
      <w:pPr>
        <w:ind w:left="8053" w:hanging="360"/>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985" w:hanging="495"/>
      <w:outlineLvl w:val="1"/>
    </w:pPr>
    <w:rPr>
      <w:rFonts w:ascii="Calibri" w:hAnsi="Calibri" w:eastAsia="Calibri" w:cs="Calibri"/>
      <w:b/>
      <w:bCs/>
      <w:sz w:val="28"/>
      <w:szCs w:val="28"/>
    </w:rPr>
  </w:style>
  <w:style w:styleId="Heading2" w:type="paragraph">
    <w:name w:val="Heading 2"/>
    <w:basedOn w:val="Normal"/>
    <w:uiPriority w:val="1"/>
    <w:qFormat/>
    <w:pPr>
      <w:spacing w:line="293" w:lineRule="exact"/>
      <w:ind w:left="1072"/>
      <w:jc w:val="both"/>
      <w:outlineLvl w:val="2"/>
    </w:pPr>
    <w:rPr>
      <w:rFonts w:ascii="Calibri" w:hAnsi="Calibri" w:eastAsia="Calibri" w:cs="Calibri"/>
      <w:sz w:val="25"/>
      <w:szCs w:val="25"/>
    </w:rPr>
  </w:style>
  <w:style w:styleId="Heading3" w:type="paragraph">
    <w:name w:val="Heading 3"/>
    <w:basedOn w:val="Normal"/>
    <w:uiPriority w:val="1"/>
    <w:qFormat/>
    <w:pPr>
      <w:ind w:left="853"/>
      <w:outlineLvl w:val="3"/>
    </w:pPr>
    <w:rPr>
      <w:rFonts w:ascii="Calibri" w:hAnsi="Calibri" w:eastAsia="Calibri" w:cs="Calibri"/>
      <w:b/>
      <w:bCs/>
      <w:sz w:val="24"/>
      <w:szCs w:val="24"/>
    </w:rPr>
  </w:style>
  <w:style w:styleId="Heading4" w:type="paragraph">
    <w:name w:val="Heading 4"/>
    <w:basedOn w:val="Normal"/>
    <w:uiPriority w:val="1"/>
    <w:qFormat/>
    <w:pPr>
      <w:spacing w:before="119"/>
      <w:ind w:left="699" w:hanging="566"/>
      <w:jc w:val="both"/>
      <w:outlineLvl w:val="4"/>
    </w:pPr>
    <w:rPr>
      <w:rFonts w:ascii="Calibri" w:hAnsi="Calibri" w:eastAsia="Calibri" w:cs="Calibri"/>
      <w:b/>
      <w:bCs/>
      <w:i/>
      <w:sz w:val="24"/>
      <w:szCs w:val="24"/>
    </w:rPr>
  </w:style>
  <w:style w:styleId="Heading5" w:type="paragraph">
    <w:name w:val="Heading 5"/>
    <w:basedOn w:val="Normal"/>
    <w:uiPriority w:val="1"/>
    <w:qFormat/>
    <w:pPr>
      <w:ind w:left="841"/>
      <w:outlineLvl w:val="5"/>
    </w:pPr>
    <w:rPr>
      <w:rFonts w:ascii="Calibri" w:hAnsi="Calibri" w:eastAsia="Calibri" w:cs="Calibri"/>
      <w:b/>
      <w:bCs/>
      <w:sz w:val="22"/>
      <w:szCs w:val="22"/>
    </w:rPr>
  </w:style>
  <w:style w:styleId="ListParagraph" w:type="paragraph">
    <w:name w:val="List Paragraph"/>
    <w:basedOn w:val="Normal"/>
    <w:uiPriority w:val="1"/>
    <w:qFormat/>
    <w:pPr>
      <w:spacing w:before="120"/>
      <w:ind w:left="985" w:hanging="495"/>
    </w:pPr>
    <w:rPr>
      <w:rFonts w:ascii="Calibri" w:hAnsi="Calibri" w:eastAsia="Calibri" w:cs="Calibri"/>
    </w:rPr>
  </w:style>
  <w:style w:styleId="TableParagraph" w:type="paragraph">
    <w:name w:val="Table Paragraph"/>
    <w:basedOn w:val="Normal"/>
    <w:uiPriority w:val="1"/>
    <w:qFormat/>
    <w:pPr>
      <w:spacing w:line="264" w:lineRule="exact"/>
      <w:ind w:left="68"/>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leap-re.eu/" TargetMode="External"/><Relationship Id="rId9" Type="http://schemas.openxmlformats.org/officeDocument/2006/relationships/hyperlink" Target="mailto:contact@leap-re.eu" TargetMode="Externa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hyperlink" Target="mailto:Fadel.Traore@ANER.sn" TargetMode="External"/><Relationship Id="rId14" Type="http://schemas.openxmlformats.org/officeDocument/2006/relationships/hyperlink" Target="mailto:e@ANER.sn" TargetMode="External"/><Relationship Id="rId15" Type="http://schemas.openxmlformats.org/officeDocument/2006/relationships/hyperlink" Target="mailto:Stefan.Haffner@DLR.de" TargetMode="External"/><Relationship Id="rId16" Type="http://schemas.openxmlformats.org/officeDocument/2006/relationships/image" Target="media/image7.jpeg"/><Relationship Id="rId17" Type="http://schemas.openxmlformats.org/officeDocument/2006/relationships/footer" Target="footer1.xml"/><Relationship Id="rId18" Type="http://schemas.openxmlformats.org/officeDocument/2006/relationships/hyperlink" Target="https://www.erafrica.eu/" TargetMode="External"/><Relationship Id="rId19" Type="http://schemas.openxmlformats.org/officeDocument/2006/relationships/hyperlink" Target="http://www.leap-agri.com/" TargetMode="External"/><Relationship Id="rId20" Type="http://schemas.openxmlformats.org/officeDocument/2006/relationships/hyperlink" Target="http://ec.europa.eu/research/participants/data/ref/h2020/grants_manual/amga/h2020-amga_en.pdf" TargetMode="External"/><Relationship Id="rId21" Type="http://schemas.openxmlformats.org/officeDocument/2006/relationships/footer" Target="footer2.xml"/><Relationship Id="rId22" Type="http://schemas.openxmlformats.org/officeDocument/2006/relationships/hyperlink" Target="http://WWW.BELMONTFORUM.ORG/" TargetMode="External"/><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hyperlink" Target="https://www.era-learn.eu/support-for-p2ps/implementing-joint-calls/funding-of-projects/distribution-and-monitoring-of-funds" TargetMode="External"/><Relationship Id="rId28" Type="http://schemas.openxmlformats.org/officeDocument/2006/relationships/footer" Target="footer3.xml"/><Relationship Id="rId29" Type="http://schemas.openxmlformats.org/officeDocument/2006/relationships/image" Target="media/image14.jpeg"/><Relationship Id="rId30" Type="http://schemas.openxmlformats.org/officeDocument/2006/relationships/image" Target="media/image15.png"/><Relationship Id="rId31" Type="http://schemas.openxmlformats.org/officeDocument/2006/relationships/footer" Target="footer4.xml"/><Relationship Id="rId3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Paper 2 - FRONT</dc:title>
  <dcterms:created xsi:type="dcterms:W3CDTF">2019-05-23T16:14:48Z</dcterms:created>
  <dcterms:modified xsi:type="dcterms:W3CDTF">2019-05-23T16:14:48Z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Adobe Acrobat Pro DC 19.12.20034</vt:lpwstr>
  </property>
  <property fmtid="{D5CDD505-2E9C-101B-9397-08002B2CF9AE}" pid="4" name="LastSaved">
    <vt:filetime>2019-05-23T00:00:00Z</vt:filetime>
  </property>
</Properties>
</file>